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28"/>
          <w:szCs w:val="28"/>
          <w:lang w:eastAsia="zh-CN"/>
        </w:rPr>
      </w:pPr>
      <w:r>
        <w:rPr>
          <w:rFonts w:hint="eastAsia" w:ascii="宋体" w:hAnsi="宋体"/>
          <w:b/>
          <w:bCs/>
          <w:sz w:val="28"/>
          <w:szCs w:val="28"/>
          <w:lang w:eastAsia="zh-CN"/>
        </w:rPr>
        <w:t>众推职聘服务合同</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合同编码：</w:t>
      </w:r>
      <w:r>
        <w:rPr>
          <w:rFonts w:ascii="宋体" w:hAnsi="宋体"/>
          <w:color w:val="000000"/>
          <w:sz w:val="24"/>
          <w:szCs w:val="24"/>
          <w:lang w:eastAsia="zh-CN"/>
        </w:rPr>
        <w:t>ST-20231208-007-02</w:t>
      </w:r>
    </w:p>
    <w:p>
      <w:pPr>
        <w:spacing w:line="360" w:lineRule="auto"/>
        <w:jc w:val="right"/>
        <w:rPr>
          <w:rFonts w:ascii="宋体" w:hAnsi="宋体"/>
          <w:b/>
          <w:bCs/>
          <w:color w:val="000000"/>
          <w:sz w:val="24"/>
          <w:szCs w:val="24"/>
          <w:lang w:eastAsia="zh-CN"/>
        </w:rPr>
      </w:pPr>
      <w:r>
        <w:rPr>
          <w:rFonts w:hint="eastAsia" w:ascii="宋体" w:hAnsi="宋体"/>
          <w:color w:val="000000"/>
          <w:sz w:val="24"/>
          <w:szCs w:val="24"/>
          <w:lang w:eastAsia="zh-CN"/>
        </w:rPr>
        <w:t>众推编号：</w:t>
      </w:r>
      <w:r>
        <w:rPr>
          <w:rFonts w:ascii="宋体" w:hAnsi="宋体"/>
          <w:color w:val="000000"/>
          <w:sz w:val="24"/>
          <w:szCs w:val="24"/>
          <w:lang w:eastAsia="zh-CN"/>
        </w:rPr>
        <w:t>ZT202312080069</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 xml:space="preserve">                                      </w:t>
      </w: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陈鑫的公司</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default" w:ascii="宋体" w:hAnsi="宋体"/>
          <w:color w:val="050505"/>
          <w:sz w:val="24"/>
          <w:szCs w:val="24"/>
          <w:lang w:val="en-US"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bookmarkStart w:id="0" w:name="_GoBack"/>
      <w:bookmarkEnd w:id="0"/>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r>
        <w:rPr>
          <w:rFonts w:ascii="宋体" w:hAnsi="宋体"/>
          <w:sz w:val="24"/>
          <w:szCs w:val="24"/>
          <w:u w:val="single"/>
          <w:lang w:eastAsia="zh-CN"/>
        </w:rPr>
        <w:t>2024年01月10日</w:t>
      </w:r>
      <w:r>
        <w:rPr>
          <w:rFonts w:hint="eastAsia" w:ascii="宋体" w:hAnsi="宋体"/>
          <w:sz w:val="24"/>
          <w:szCs w:val="24"/>
          <w:lang w:eastAsia="zh-CN"/>
        </w:rPr>
        <w:t xml:space="preserve"> 至</w:t>
      </w:r>
      <w:r>
        <w:rPr>
          <w:rFonts w:ascii="宋体" w:hAnsi="宋体"/>
          <w:sz w:val="24"/>
          <w:szCs w:val="24"/>
          <w:u w:val="single"/>
          <w:lang w:eastAsia="zh-CN"/>
        </w:rPr>
        <w:t>2024年01月30日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tbl>
      <w:tblPr>
        <w:tblStyle w:val="7"/>
        <w:tblpPr w:leftFromText="180" w:rightFromText="180" w:vertAnchor="text" w:horzAnchor="page" w:tblpX="1234" w:tblpY="450"/>
        <w:tblOverlap w:val="never"/>
        <w:tblW w:w="964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67"/>
        <w:gridCol w:w="1899"/>
        <w:gridCol w:w="61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tcBorders>
              <w:tl2br w:val="nil"/>
              <w:tr2bl w:val="nil"/>
            </w:tcBorders>
            <w:vAlign w:val="center"/>
          </w:tcPr>
          <w:p>
            <w:pPr>
              <w:spacing w:line="360" w:lineRule="auto"/>
              <w:jc w:val="center"/>
              <w:rPr>
                <w:rFonts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2"/>
            <w:tcBorders>
              <w:tl2br w:val="nil"/>
              <w:tr2bl w:val="nil"/>
            </w:tcBorders>
            <w:shd w:val="clear" w:color="auto" w:fill="auto"/>
            <w:vAlign w:val="center"/>
          </w:tcPr>
          <w:p>
            <w:pPr>
              <w:jc w:val="center"/>
              <w:rPr>
                <w:rFonts w:ascii="Cambria" w:hAnsi="Cambria"/>
                <w:b/>
                <w:bCs/>
                <w:sz w:val="24"/>
                <w:szCs w:val="24"/>
              </w:rPr>
            </w:pPr>
            <w:r>
              <w:rPr>
                <w:rFonts w:hint="eastAsia" w:ascii="Cambria" w:hAnsi="Cambria"/>
                <w:b/>
                <w:bCs/>
                <w:sz w:val="24"/>
                <w:szCs w:val="24"/>
                <w:lang w:eastAsia="zh-CN"/>
              </w:rPr>
              <w:t>服务细则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HR交付审核</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简历精准推送</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简历预判、精筛分流：基本信息、技术标签，年限，技术级别，技术点使用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邀约面试</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发送面试邀约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面试跟进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如约、改约、放弃等状态跟进，避免爽约率，提高到面率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谈薪offer发放</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协助企业谈薪，捕捉候选人诉求意愿，避免放弃offer概率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入职报道跟进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增加粘度，提高入职率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入职阶段的跟进维护，提高交付率及稳定性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交付服务顾问</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制定交付方案</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招聘岗位的</w:t>
            </w:r>
            <w:r>
              <w:rPr>
                <w:rFonts w:ascii="宋体" w:hAnsi="宋体"/>
                <w:sz w:val="24"/>
                <w:szCs w:val="24"/>
                <w:lang w:eastAsia="zh-CN"/>
              </w:rPr>
              <w:t>JD</w:t>
            </w:r>
            <w:r>
              <w:rPr>
                <w:rFonts w:hint="eastAsia" w:ascii="宋体" w:hAnsi="宋体"/>
                <w:sz w:val="24"/>
                <w:szCs w:val="24"/>
                <w:lang w:eastAsia="zh-CN"/>
              </w:rPr>
              <w:t>解析，制定交付方案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协同</w:t>
            </w:r>
            <w:r>
              <w:rPr>
                <w:rFonts w:ascii="宋体" w:hAnsi="宋体"/>
                <w:sz w:val="24"/>
                <w:szCs w:val="24"/>
                <w:lang w:eastAsia="zh-CN"/>
              </w:rPr>
              <w:t>HR</w:t>
            </w:r>
            <w:r>
              <w:rPr>
                <w:rFonts w:hint="eastAsia" w:ascii="宋体" w:hAnsi="宋体"/>
                <w:sz w:val="24"/>
                <w:szCs w:val="24"/>
                <w:lang w:eastAsia="zh-CN"/>
              </w:rPr>
              <w:t>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制定H</w:t>
            </w:r>
            <w:r>
              <w:rPr>
                <w:rFonts w:ascii="宋体" w:hAnsi="宋体"/>
                <w:sz w:val="24"/>
                <w:szCs w:val="24"/>
                <w:lang w:eastAsia="zh-CN"/>
              </w:rPr>
              <w:t>R</w:t>
            </w:r>
            <w:r>
              <w:rPr>
                <w:rFonts w:hint="eastAsia" w:ascii="宋体" w:hAnsi="宋体"/>
                <w:sz w:val="24"/>
                <w:szCs w:val="24"/>
                <w:lang w:eastAsia="zh-CN"/>
              </w:rPr>
              <w:t>审核标准，协助HR提高交付质量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提供入职数据报表/分析报告</w:t>
            </w:r>
          </w:p>
        </w:tc>
      </w:tr>
    </w:tbl>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w:t>
      </w:r>
      <w:r>
        <w:rPr>
          <w:rFonts w:hint="eastAsia" w:ascii="宋体" w:hAnsi="宋体"/>
          <w:b/>
          <w:bCs/>
          <w:sz w:val="24"/>
          <w:szCs w:val="24"/>
          <w:lang w:eastAsia="zh-CN"/>
        </w:rPr>
        <w:t>闪推服务</w:t>
      </w:r>
      <w:r>
        <w:rPr>
          <w:rFonts w:hint="eastAsia" w:ascii="宋体" w:hAnsi="宋体"/>
          <w:sz w:val="24"/>
          <w:szCs w:val="24"/>
          <w:lang w:eastAsia="zh-CN"/>
        </w:rPr>
        <w:t>项目如下：</w:t>
      </w:r>
    </w:p>
    <w:p>
      <w:pPr>
        <w:spacing w:before="120" w:beforeLines="50" w:line="360" w:lineRule="auto"/>
        <w:rPr>
          <w:rFonts w:ascii="宋体" w:hAnsi="宋体"/>
          <w:sz w:val="24"/>
          <w:szCs w:val="24"/>
          <w:lang w:eastAsia="zh-CN"/>
        </w:rPr>
      </w:pPr>
      <w:r>
        <w:rPr>
          <w:rFonts w:hint="eastAsia" w:ascii="宋体" w:hAnsi="宋体"/>
          <w:sz w:val="24"/>
          <w:szCs w:val="24"/>
          <w:lang w:eastAsia="zh-CN"/>
        </w:rPr>
        <w:t>闪推交付服务的入驻平台费用合计：</w:t>
      </w:r>
      <w:r>
        <w:rPr>
          <w:rFonts w:hint="eastAsia" w:ascii="宋体" w:hAnsi="宋体"/>
          <w:sz w:val="24"/>
          <w:szCs w:val="24"/>
          <w:u w:val="single"/>
          <w:lang w:eastAsia="zh-CN"/>
        </w:rPr>
        <w:t xml:space="preserve"> </w:t>
      </w:r>
      <w:r>
        <w:rPr>
          <w:rFonts w:ascii="宋体" w:hAnsi="宋体"/>
          <w:sz w:val="24"/>
          <w:szCs w:val="24"/>
          <w:u w:val="single"/>
          <w:lang w:eastAsia="zh-CN"/>
        </w:rPr>
        <w:t>12000</w:t>
      </w:r>
      <w:r>
        <w:rPr>
          <w:rFonts w:hint="eastAsia" w:ascii="宋体" w:hAnsi="宋体"/>
          <w:sz w:val="24"/>
          <w:szCs w:val="24"/>
          <w:u w:val="single"/>
          <w:lang w:eastAsia="zh-CN"/>
        </w:rPr>
        <w:t xml:space="preserve"> </w:t>
      </w:r>
      <w:r>
        <w:rPr>
          <w:rFonts w:hint="eastAsia" w:ascii="宋体" w:hAnsi="宋体"/>
          <w:sz w:val="24"/>
          <w:szCs w:val="24"/>
          <w:lang w:eastAsia="zh-CN"/>
        </w:rPr>
        <w:t>元，大写</w:t>
      </w:r>
      <w:r>
        <w:rPr>
          <w:rFonts w:hint="eastAsia" w:ascii="宋体" w:hAnsi="宋体"/>
          <w:sz w:val="24"/>
          <w:szCs w:val="24"/>
          <w:u w:val="single"/>
          <w:lang w:eastAsia="zh-CN"/>
        </w:rPr>
        <w:t xml:space="preserve"> </w:t>
      </w:r>
      <w:r>
        <w:rPr>
          <w:rFonts w:ascii="宋体" w:hAnsi="宋体"/>
          <w:sz w:val="24"/>
          <w:szCs w:val="24"/>
          <w:u w:val="single"/>
          <w:lang w:eastAsia="zh-CN"/>
        </w:rPr>
        <w:t>壹万贰仟元整</w:t>
      </w:r>
      <w:r>
        <w:rPr>
          <w:rFonts w:hint="eastAsia" w:ascii="宋体" w:hAnsi="宋体"/>
          <w:sz w:val="24"/>
          <w:szCs w:val="24"/>
          <w:u w:val="single"/>
          <w:lang w:eastAsia="zh-CN"/>
        </w:rPr>
        <w:t xml:space="preserve"> </w:t>
      </w:r>
      <w:r>
        <w:rPr>
          <w:rFonts w:hint="eastAsia" w:ascii="宋体" w:hAnsi="宋体"/>
          <w:sz w:val="24"/>
          <w:szCs w:val="24"/>
          <w:lang w:eastAsia="zh-CN"/>
        </w:rPr>
        <w:t>。</w:t>
      </w:r>
    </w:p>
    <w:p>
      <w:pPr>
        <w:pStyle w:val="14"/>
        <w:spacing w:line="360" w:lineRule="auto"/>
        <w:ind w:firstLine="0" w:firstLineChars="0"/>
        <w:outlineLvl w:val="0"/>
        <w:rPr>
          <w:rFonts w:ascii="宋体" w:hAnsi="宋体"/>
          <w:b/>
          <w:bCs/>
          <w:sz w:val="24"/>
          <w:szCs w:val="24"/>
          <w:lang w:eastAsia="zh-CN"/>
        </w:rPr>
      </w:pPr>
      <w:r>
        <w:rPr>
          <w:rFonts w:hint="eastAsia" w:ascii="宋体" w:hAnsi="宋体"/>
          <w:b/>
          <w:bCs/>
          <w:sz w:val="24"/>
          <w:szCs w:val="24"/>
          <w:lang w:eastAsia="zh-CN"/>
        </w:rPr>
        <w:t>第二条、费用及支付</w:t>
      </w:r>
    </w:p>
    <w:p>
      <w:pPr>
        <w:pStyle w:val="2"/>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"21%"</w:t>
      </w:r>
      <w:r>
        <w:rPr>
          <w:rFonts w:hint="eastAsia"/>
          <w:sz w:val="24"/>
          <w:szCs w:val="24"/>
          <w:u w:val="single"/>
        </w:rPr>
        <w:t>作为服务费</w:t>
      </w:r>
      <w:r>
        <w:rPr>
          <w:rFonts w:hint="eastAsia"/>
          <w:sz w:val="24"/>
          <w:szCs w:val="24"/>
        </w:rPr>
        <w:t>。</w:t>
      </w:r>
    </w:p>
    <w:p>
      <w:pPr>
        <w:pStyle w:val="2"/>
        <w:spacing w:line="360" w:lineRule="auto"/>
        <w:ind w:firstLine="424" w:firstLineChars="177"/>
        <w:rPr>
          <w:sz w:val="24"/>
          <w:szCs w:val="24"/>
        </w:rPr>
      </w:pPr>
      <w:r>
        <w:rPr>
          <w:rFonts w:hint="eastAsia"/>
          <w:sz w:val="24"/>
          <w:szCs w:val="24"/>
        </w:rPr>
        <w:t>注：入职候选人的薪资确认以双方邮件确认或以平台发放offer中的薪资为准。</w:t>
      </w:r>
    </w:p>
    <w:p>
      <w:pPr>
        <w:pStyle w:val="2"/>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pPr>
        <w:pStyle w:val="2"/>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2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2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2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sz w:val="24"/>
          <w:szCs w:val="24"/>
          <w:lang w:eastAsia="zh-CN"/>
        </w:rPr>
      </w:pPr>
      <w:r>
        <w:rPr>
          <w:rFonts w:hint="eastAsia" w:ascii="宋体" w:hAnsi="宋体"/>
          <w:b/>
          <w:bCs/>
          <w:sz w:val="24"/>
          <w:szCs w:val="24"/>
          <w:lang w:eastAsia="zh-CN"/>
        </w:rPr>
        <w:t>甲方发票信息</w:t>
      </w:r>
    </w:p>
    <w:p>
      <w:pPr>
        <w:spacing w:line="360" w:lineRule="auto"/>
        <w:ind w:firstLine="420"/>
        <w:rPr>
          <w:rFonts w:ascii="宋体" w:hAnsi="宋体"/>
          <w:sz w:val="24"/>
          <w:szCs w:val="24"/>
          <w:lang w:eastAsia="zh-CN"/>
        </w:rPr>
      </w:pPr>
      <w:r>
        <w:rPr>
          <w:rFonts w:hint="eastAsia" w:ascii="宋体" w:hAnsi="宋体"/>
          <w:sz w:val="24"/>
          <w:szCs w:val="24"/>
          <w:lang w:eastAsia="zh-CN"/>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陈鑫的公司</w:t>
      </w:r>
    </w:p>
    <w:p>
      <w:pPr>
        <w:spacing w:line="360" w:lineRule="auto"/>
        <w:ind w:firstLine="420"/>
        <w:rPr>
          <w:rFonts w:ascii="宋体" w:hAnsi="宋体"/>
          <w:sz w:val="24"/>
          <w:szCs w:val="24"/>
          <w:lang w:eastAsia="zh-CN"/>
        </w:rPr>
      </w:pPr>
      <w:r>
        <w:rPr>
          <w:rFonts w:hint="eastAsia" w:ascii="宋体" w:hAnsi="宋体"/>
          <w:sz w:val="24"/>
          <w:szCs w:val="24"/>
          <w:lang w:eastAsia="zh-CN"/>
        </w:rPr>
        <w:t>纳税人识别号:</w:t>
      </w:r>
      <w:r>
        <w:rPr>
          <w:rFonts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12312312</w:t>
      </w:r>
    </w:p>
    <w:p>
      <w:pPr>
        <w:spacing w:line="360" w:lineRule="auto"/>
        <w:ind w:firstLine="420"/>
        <w:rPr>
          <w:rFonts w:ascii="宋体" w:hAnsi="宋体"/>
          <w:sz w:val="24"/>
          <w:szCs w:val="24"/>
          <w:lang w:eastAsia="zh-CN"/>
        </w:rPr>
      </w:pPr>
      <w:r>
        <w:rPr>
          <w:rFonts w:hint="eastAsia" w:ascii="宋体" w:hAnsi="宋体"/>
          <w:sz w:val="24"/>
          <w:szCs w:val="24"/>
          <w:lang w:eastAsia="zh-CN"/>
        </w:rPr>
        <w:t>地    址：</w:t>
      </w:r>
      <w:r>
        <w:rPr>
          <w:rFonts w:ascii="宋体" w:hAnsi="宋体"/>
          <w:sz w:val="24"/>
          <w:u w:color="auto"/>
        </w:rPr>
        <w:t>241412</w:t>
      </w:r>
    </w:p>
    <w:p>
      <w:pPr>
        <w:spacing w:line="360" w:lineRule="auto"/>
        <w:ind w:firstLine="420"/>
        <w:rPr>
          <w:rFonts w:ascii="宋体" w:hAnsi="宋体"/>
          <w:sz w:val="24"/>
          <w:szCs w:val="24"/>
          <w:lang w:eastAsia="zh-CN"/>
        </w:rPr>
      </w:pPr>
      <w:r>
        <w:rPr>
          <w:rFonts w:hint="eastAsia" w:ascii="宋体" w:hAnsi="宋体"/>
          <w:sz w:val="24"/>
          <w:szCs w:val="24"/>
          <w:lang w:eastAsia="zh-CN"/>
        </w:rPr>
        <w:t>电    话：</w:t>
      </w:r>
      <w:r>
        <w:rPr>
          <w:rFonts w:ascii="宋体" w:hAnsi="宋体"/>
          <w:sz w:val="24"/>
          <w:szCs w:val="24"/>
          <w:lang w:eastAsia="zh-CN"/>
        </w:rPr>
        <w:t>21412412</w:t>
      </w:r>
    </w:p>
    <w:p>
      <w:pPr>
        <w:spacing w:line="360" w:lineRule="auto"/>
        <w:ind w:firstLine="420"/>
        <w:rPr>
          <w:rFonts w:ascii="宋体" w:hAnsi="宋体"/>
          <w:sz w:val="24"/>
          <w:szCs w:val="24"/>
          <w:lang w:eastAsia="zh-CN"/>
        </w:rPr>
      </w:pPr>
      <w:r>
        <w:rPr>
          <w:rFonts w:hint="eastAsia" w:ascii="宋体" w:hAnsi="宋体"/>
          <w:sz w:val="24"/>
          <w:szCs w:val="24"/>
          <w:lang w:eastAsia="zh-CN"/>
        </w:rPr>
        <w:t>开 户 行：</w:t>
      </w:r>
      <w:r>
        <w:rPr>
          <w:rFonts w:ascii="宋体" w:hAnsi="宋体"/>
          <w:sz w:val="24"/>
          <w:u w:color="auto"/>
        </w:rPr>
        <w:t>12312312</w:t>
      </w:r>
    </w:p>
    <w:p>
      <w:pPr>
        <w:spacing w:line="360" w:lineRule="auto"/>
        <w:ind w:firstLine="420"/>
        <w:rPr>
          <w:rFonts w:ascii="宋体" w:hAnsi="宋体"/>
          <w:sz w:val="24"/>
          <w:szCs w:val="24"/>
          <w:lang w:eastAsia="zh-CN"/>
        </w:rPr>
      </w:pPr>
      <w:r>
        <w:rPr>
          <w:rFonts w:hint="eastAsia" w:ascii="宋体" w:hAnsi="宋体"/>
          <w:sz w:val="24"/>
          <w:szCs w:val="24"/>
          <w:lang w:eastAsia="zh-CN"/>
        </w:rPr>
        <w:t>账    号：</w:t>
      </w:r>
      <w:r>
        <w:rPr>
          <w:rFonts w:ascii="宋体" w:hAnsi="宋体"/>
          <w:sz w:val="24"/>
          <w:szCs w:val="24"/>
          <w:lang w:eastAsia="zh-CN"/>
        </w:rPr>
        <w:t>132312312</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如果甲方未能按合同约定支付所应付之款项，则自应付之日起按应付金额的日千分之三支付滞纳金，直至甲方支付完所有应付款之日止，且乙方有权随时终止合同。</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争议解决：本合同履行过程中如发生争议，应友好协商解决，协商不成，双方同意向北京仲裁委员会提起仲裁</w:t>
      </w:r>
    </w:p>
    <w:p>
      <w:pPr>
        <w:spacing w:line="360" w:lineRule="auto"/>
        <w:rPr>
          <w:rFonts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ST-20231208-007-02</w:t>
      </w:r>
      <w:r>
        <w:rPr>
          <w:rFonts w:hint="eastAsia" w:ascii="宋体" w:hAnsi="宋体"/>
          <w:color w:val="000000"/>
          <w:sz w:val="24"/>
          <w:szCs w:val="24"/>
          <w:lang w:eastAsia="zh-CN"/>
        </w:rPr>
        <w:t>）一式两份，甲乙方各执一份。</w:t>
      </w:r>
    </w:p>
    <w:p>
      <w:pPr>
        <w:spacing w:line="360" w:lineRule="auto"/>
        <w:rPr>
          <w:rFonts w:ascii="宋体" w:hAnsi="宋体"/>
          <w:color w:val="000000"/>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20"/>
        <w:rPr>
          <w:rFonts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姓名：</w:t>
            </w:r>
            <w:r>
              <w:rPr>
                <w:rFonts w:ascii="宋体" w:hAnsi="宋体"/>
                <w:sz w:val="24"/>
                <w:szCs w:val="24"/>
                <w:lang w:eastAsia="zh-CN"/>
              </w:rPr>
              <w:t xml:space="preserve"> </w:t>
            </w:r>
            <w:r>
              <w:rPr>
                <w:rFonts w:ascii="宋体" w:hAnsi="宋体"/>
                <w:sz w:val="24"/>
                <w:u w:color="auto"/>
              </w:rPr>
              <w:t>陈</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sz w:val="24"/>
                <w:szCs w:val="24"/>
                <w:lang w:eastAsia="zh-CN"/>
              </w:rPr>
              <w:t>电子邮件：</w:t>
            </w:r>
            <w:r>
              <w:rPr>
                <w:rFonts w:ascii="宋体" w:hAnsi="宋体"/>
                <w:sz w:val="24"/>
                <w:szCs w:val="24"/>
                <w:lang w:eastAsia="zh-CN"/>
              </w:rPr>
              <w:t>2948580280@qq.com</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手机号：</w:t>
            </w:r>
            <w:r>
              <w:rPr>
                <w:rFonts w:ascii="宋体" w:hAnsi="宋体"/>
                <w:sz w:val="24"/>
                <w:szCs w:val="24"/>
                <w:lang w:eastAsia="zh-CN"/>
              </w:rPr>
              <w:t>12312213123</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固定电话：</w:t>
            </w:r>
            <w:r>
              <w:rPr>
                <w:rFonts w:ascii="宋体" w:hAnsi="宋体"/>
                <w:sz w:val="24"/>
                <w:szCs w:val="24"/>
                <w:lang w:eastAsia="zh-CN"/>
              </w:rPr>
              <w:t>15188222423</w:t>
            </w:r>
          </w:p>
        </w:tc>
      </w:tr>
    </w:tbl>
    <w:p/>
    <w:tbl>
      <w:tblPr>
        <w:tblStyle w:val="6"/>
        <w:tblpPr w:leftFromText="180" w:rightFromText="180" w:vertAnchor="text" w:horzAnchor="margin" w:tblpY="1"/>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lang w:eastAsia="zh-CN"/>
              </w:rPr>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spacing w:line="360" w:lineRule="auto"/>
        <w:rPr>
          <w:rFonts w:ascii="宋体" w:hAnsi="宋体"/>
          <w:b/>
          <w:bCs/>
          <w:sz w:val="24"/>
          <w:szCs w:val="24"/>
          <w:lang w:eastAsia="zh-CN"/>
        </w:rPr>
        <w:sectPr>
          <w:headerReference r:id="rId5" w:type="default"/>
          <w:footerReference r:id="rId6" w:type="default"/>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6"/>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0"/>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0"/>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0"/>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39"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7"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sectPr>
      <w:headerReference r:id="rId8" w:type="default"/>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p>
  <w:p>
    <w:pPr>
      <w:pStyle w:val="4"/>
      <w:rPr>
        <w:rFonts w:eastAsia="Times New Roman"/>
      </w:rPr>
    </w:pPr>
    <w:r>
      <w:rPr>
        <w:lang w:eastAsia="zh-CN"/>
      </w:rPr>
      <w:drawing>
        <wp:inline distT="0" distB="0" distL="0" distR="0">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ACA275"/>
    <w:multiLevelType w:val="singleLevel"/>
    <w:tmpl w:val="B1ACA275"/>
    <w:lvl w:ilvl="0" w:tentative="0">
      <w:start w:val="1"/>
      <w:numFmt w:val="decimal"/>
      <w:lvlText w:val="%1)"/>
      <w:lvlJc w:val="left"/>
      <w:pPr>
        <w:ind w:left="425" w:hanging="425"/>
      </w:pPr>
      <w:rPr>
        <w:rFonts w:hint="default"/>
      </w:rPr>
    </w:lvl>
  </w:abstractNum>
  <w:abstractNum w:abstractNumId="1">
    <w:nsid w:val="BFF87AEF"/>
    <w:multiLevelType w:val="singleLevel"/>
    <w:tmpl w:val="BFF87AEF"/>
    <w:lvl w:ilvl="0" w:tentative="0">
      <w:start w:val="1"/>
      <w:numFmt w:val="decimal"/>
      <w:lvlText w:val="%1)"/>
      <w:lvlJc w:val="left"/>
      <w:pPr>
        <w:ind w:left="425" w:hanging="425"/>
      </w:pPr>
      <w:rPr>
        <w:rFonts w:hint="default"/>
      </w:rPr>
    </w:lvl>
  </w:abstractNum>
  <w:abstractNum w:abstractNumId="2">
    <w:nsid w:val="D4DFD0D1"/>
    <w:multiLevelType w:val="singleLevel"/>
    <w:tmpl w:val="D4DFD0D1"/>
    <w:lvl w:ilvl="0" w:tentative="0">
      <w:start w:val="1"/>
      <w:numFmt w:val="decimal"/>
      <w:lvlText w:val="%1)"/>
      <w:lvlJc w:val="left"/>
      <w:pPr>
        <w:ind w:left="425" w:hanging="425"/>
      </w:pPr>
      <w:rPr>
        <w:rFonts w:hint="default"/>
      </w:rPr>
    </w:lvl>
  </w:abstractNum>
  <w:abstractNum w:abstractNumId="3">
    <w:nsid w:val="DBE49DEA"/>
    <w:multiLevelType w:val="singleLevel"/>
    <w:tmpl w:val="DBE49DEA"/>
    <w:lvl w:ilvl="0" w:tentative="0">
      <w:start w:val="1"/>
      <w:numFmt w:val="decimal"/>
      <w:lvlText w:val="%1)"/>
      <w:lvlJc w:val="left"/>
      <w:pPr>
        <w:ind w:left="425" w:hanging="425"/>
      </w:pPr>
      <w:rPr>
        <w:rFonts w:hint="default"/>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FB99CAA5"/>
    <w:multiLevelType w:val="singleLevel"/>
    <w:tmpl w:val="FB99CAA5"/>
    <w:lvl w:ilvl="0" w:tentative="0">
      <w:start w:val="1"/>
      <w:numFmt w:val="decimal"/>
      <w:lvlText w:val="%1)"/>
      <w:lvlJc w:val="left"/>
      <w:pPr>
        <w:ind w:left="425" w:hanging="425"/>
      </w:pPr>
      <w:rPr>
        <w:rFonts w:hint="default"/>
      </w:rPr>
    </w:lvl>
  </w:abstractNum>
  <w:abstractNum w:abstractNumId="6">
    <w:nsid w:val="47C0804E"/>
    <w:multiLevelType w:val="singleLevel"/>
    <w:tmpl w:val="47C0804E"/>
    <w:lvl w:ilvl="0" w:tentative="0">
      <w:start w:val="1"/>
      <w:numFmt w:val="decimal"/>
      <w:lvlText w:val="%1)"/>
      <w:lvlJc w:val="left"/>
      <w:pPr>
        <w:ind w:left="425" w:hanging="425"/>
      </w:pPr>
      <w:rPr>
        <w:rFonts w:hint="default"/>
      </w:rPr>
    </w:lvl>
  </w:abstractNum>
  <w:abstractNum w:abstractNumId="7">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8">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9">
    <w:nsid w:val="72F6DEC7"/>
    <w:multiLevelType w:val="singleLevel"/>
    <w:tmpl w:val="72F6DEC7"/>
    <w:lvl w:ilvl="0" w:tentative="0">
      <w:start w:val="1"/>
      <w:numFmt w:val="decimal"/>
      <w:lvlText w:val="%1)"/>
      <w:lvlJc w:val="left"/>
      <w:pPr>
        <w:ind w:left="425" w:hanging="425"/>
      </w:pPr>
      <w:rPr>
        <w:rFonts w:hint="default"/>
      </w:rPr>
    </w:lvl>
  </w:abstractNum>
  <w:num w:numId="1">
    <w:abstractNumId w:val="2"/>
  </w:num>
  <w:num w:numId="2">
    <w:abstractNumId w:val="3"/>
  </w:num>
  <w:num w:numId="3">
    <w:abstractNumId w:val="4"/>
  </w:num>
  <w:num w:numId="4">
    <w:abstractNumId w:val="5"/>
  </w:num>
  <w:num w:numId="5">
    <w:abstractNumId w:val="1"/>
  </w:num>
  <w:num w:numId="6">
    <w:abstractNumId w:val="8"/>
  </w:num>
  <w:num w:numId="7">
    <w:abstractNumId w:val="9"/>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A2M2FiZjM3N2Q4OTJjNGRkY2M5NmIwMWE2OGI4NzQ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1ED43FA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6A1FBD"/>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宋体" w:cs="宋体"/>
      <w:lang w:val="en-US" w:eastAsia="en-US"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autoRedefine/>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676</Words>
  <Characters>3857</Characters>
  <Lines>32</Lines>
  <Paragraphs>9</Paragraphs>
  <TotalTime>2</TotalTime>
  <ScaleCrop>false</ScaleCrop>
  <LinksUpToDate>false</LinksUpToDate>
  <CharactersWithSpaces>4524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丶丢了xin</cp:lastModifiedBy>
  <dcterms:modified xsi:type="dcterms:W3CDTF">2023-12-18T05:53:36Z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