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b/>
          <w:bCs/>
          <w:sz w:val="28"/>
          <w:szCs w:val="28"/>
          <w:lang w:eastAsia="zh-CN"/>
        </w:rPr>
      </w:pPr>
      <w:bookmarkStart w:id="0" w:name="_GoBack"/>
      <w:bookmarkEnd w:id="0"/>
      <w:r>
        <w:rPr>
          <w:rFonts w:hint="eastAsia" w:ascii="宋体" w:hAnsi="宋体"/>
          <w:b/>
          <w:bCs/>
          <w:sz w:val="28"/>
          <w:szCs w:val="28"/>
          <w:lang w:eastAsia="zh-CN"/>
        </w:rPr>
        <w:t>众推职聘服务合同</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合同编码：</w:t>
      </w:r>
      <w:r>
        <w:rPr>
          <w:rFonts w:ascii="宋体" w:hAnsi="宋体"/>
          <w:color w:val="000000"/>
          <w:sz w:val="24"/>
          <w:szCs w:val="24"/>
          <w:lang w:eastAsia="zh-CN"/>
        </w:rPr>
        <w:t>ST-20231130-004-01</w:t>
      </w:r>
    </w:p>
    <w:p>
      <w:pPr>
        <w:spacing w:line="360" w:lineRule="auto"/>
        <w:jc w:val="right"/>
        <w:rPr>
          <w:rFonts w:ascii="宋体" w:hAnsi="宋体"/>
          <w:b/>
          <w:bCs/>
          <w:color w:val="000000"/>
          <w:sz w:val="24"/>
          <w:szCs w:val="24"/>
          <w:lang w:eastAsia="zh-CN"/>
        </w:rPr>
      </w:pPr>
      <w:r>
        <w:rPr>
          <w:rFonts w:hint="eastAsia" w:ascii="宋体" w:hAnsi="宋体"/>
          <w:color w:val="000000"/>
          <w:sz w:val="24"/>
          <w:szCs w:val="24"/>
          <w:lang w:eastAsia="zh-CN"/>
        </w:rPr>
        <w:t>众推编号：</w:t>
      </w:r>
      <w:r>
        <w:rPr>
          <w:rFonts w:ascii="宋体" w:hAnsi="宋体"/>
          <w:color w:val="000000"/>
          <w:sz w:val="24"/>
          <w:szCs w:val="24"/>
          <w:lang w:eastAsia="zh-CN"/>
        </w:rPr>
        <w:t>ZT202311300002</w:t>
      </w:r>
    </w:p>
    <w:p>
      <w:pPr>
        <w:spacing w:line="360" w:lineRule="auto"/>
        <w:jc w:val="right"/>
        <w:rPr>
          <w:rFonts w:ascii="宋体" w:hAnsi="宋体"/>
          <w:color w:val="000000"/>
          <w:sz w:val="24"/>
          <w:szCs w:val="24"/>
          <w:lang w:eastAsia="zh-CN"/>
        </w:rPr>
      </w:pPr>
      <w:r>
        <w:rPr>
          <w:rFonts w:hint="eastAsia" w:ascii="宋体" w:hAnsi="宋体"/>
          <w:color w:val="000000"/>
          <w:sz w:val="24"/>
          <w:szCs w:val="24"/>
          <w:lang w:eastAsia="zh-CN"/>
        </w:rPr>
        <w:t xml:space="preserve">                                      </w:t>
      </w: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pPr>
              <w:tabs>
                <w:tab w:val="left" w:pos="9639"/>
              </w:tabs>
              <w:spacing w:line="360" w:lineRule="auto"/>
              <w:ind w:right="2"/>
              <w:rPr>
                <w:rFonts w:ascii="宋体" w:hAnsi="宋体"/>
                <w:b/>
                <w:bCs/>
                <w:sz w:val="24"/>
                <w:szCs w:val="24"/>
                <w:u w:val="single"/>
                <w:lang w:eastAsia="zh-CN"/>
              </w:rPr>
            </w:pPr>
            <w:r>
              <w:rPr>
                <w:rFonts w:hint="eastAsia" w:ascii="宋体" w:hAnsi="宋体"/>
                <w:b/>
                <w:bCs/>
                <w:sz w:val="24"/>
                <w:szCs w:val="24"/>
                <w:lang w:eastAsia="zh-CN"/>
              </w:rPr>
              <w:t>甲方：_</w:t>
            </w:r>
            <w:r>
              <w:rPr>
                <w:rFonts w:hint="eastAsia" w:ascii="宋体" w:hAnsi="宋体"/>
                <w:b/>
                <w:bCs/>
                <w:sz w:val="24"/>
                <w:szCs w:val="24"/>
                <w:u w:val="single"/>
                <w:lang w:eastAsia="zh-CN"/>
              </w:rPr>
              <w:t>113001公司</w:t>
            </w:r>
            <w:r>
              <w:rPr>
                <w:rFonts w:ascii="宋体" w:hAnsi="宋体"/>
                <w:b/>
                <w:bCs/>
                <w:sz w:val="24"/>
                <w:szCs w:val="24"/>
                <w:u w:val="single"/>
                <w:lang w:eastAsia="zh-CN"/>
              </w:rPr>
              <w:t xml:space="preserve">                 </w:t>
            </w:r>
          </w:p>
        </w:tc>
        <w:tc>
          <w:tcPr>
            <w:tcW w:w="4929" w:type="dxa"/>
          </w:tcPr>
          <w:p>
            <w:pPr>
              <w:tabs>
                <w:tab w:val="left" w:pos="9639"/>
              </w:tabs>
              <w:spacing w:line="360" w:lineRule="auto"/>
              <w:ind w:left="-250" w:leftChars="-125" w:right="2" w:firstLine="446" w:firstLineChars="185"/>
              <w:rPr>
                <w:rFonts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hint="eastAsia" w:ascii="宋体" w:hAnsi="宋体"/>
          <w:color w:val="050505"/>
          <w:sz w:val="24"/>
          <w:szCs w:val="24"/>
          <w:lang w:eastAsia="zh-CN"/>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pPr>
        <w:spacing w:line="360" w:lineRule="auto"/>
        <w:rPr>
          <w:rFonts w:ascii="宋体" w:hAnsi="宋体"/>
          <w:sz w:val="24"/>
          <w:szCs w:val="24"/>
          <w:lang w:eastAsia="zh-CN"/>
        </w:rPr>
      </w:pPr>
    </w:p>
    <w:p>
      <w:pPr>
        <w:spacing w:line="360" w:lineRule="auto"/>
        <w:jc w:val="center"/>
        <w:rPr>
          <w:rFonts w:ascii="宋体" w:hAnsi="宋体"/>
          <w:b/>
          <w:bCs/>
          <w:sz w:val="24"/>
          <w:szCs w:val="24"/>
          <w:lang w:eastAsia="zh-CN"/>
        </w:rPr>
      </w:pPr>
      <w:r>
        <w:rPr>
          <w:rFonts w:hint="eastAsia" w:ascii="宋体" w:hAnsi="宋体"/>
          <w:b/>
          <w:bCs/>
          <w:sz w:val="24"/>
          <w:szCs w:val="24"/>
          <w:lang w:eastAsia="zh-CN"/>
        </w:rPr>
        <w:t>基本条款</w:t>
      </w:r>
    </w:p>
    <w:p>
      <w:pPr>
        <w:spacing w:line="360" w:lineRule="auto"/>
        <w:outlineLvl w:val="0"/>
        <w:rPr>
          <w:rFonts w:ascii="宋体" w:hAnsi="宋体"/>
          <w:b/>
          <w:bCs/>
          <w:sz w:val="24"/>
          <w:szCs w:val="24"/>
          <w:lang w:eastAsia="zh-CN"/>
        </w:rPr>
      </w:pPr>
      <w:r>
        <w:rPr>
          <w:rFonts w:hint="eastAsia" w:ascii="宋体" w:hAnsi="宋体"/>
          <w:b/>
          <w:bCs/>
          <w:sz w:val="24"/>
          <w:szCs w:val="24"/>
          <w:lang w:eastAsia="zh-CN"/>
        </w:rPr>
        <w:t>第一条、服务内容</w:t>
      </w:r>
    </w:p>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自</w:t>
      </w:r>
      <w:r>
        <w:rPr>
          <w:rFonts w:ascii="宋体" w:hAnsi="宋体"/>
          <w:sz w:val="24"/>
          <w:szCs w:val="24"/>
          <w:u w:val="single"/>
          <w:lang w:eastAsia="zh-CN"/>
        </w:rPr>
        <w:t>2023年11月30日</w:t>
      </w:r>
      <w:r>
        <w:rPr>
          <w:rFonts w:hint="eastAsia" w:ascii="宋体" w:hAnsi="宋体"/>
          <w:sz w:val="24"/>
          <w:szCs w:val="24"/>
          <w:lang w:eastAsia="zh-CN"/>
        </w:rPr>
        <w:t xml:space="preserve"> 至</w:t>
      </w:r>
      <w:r>
        <w:rPr>
          <w:rFonts w:ascii="宋体" w:hAnsi="宋体"/>
          <w:sz w:val="24"/>
          <w:szCs w:val="24"/>
          <w:u w:val="single"/>
          <w:lang w:eastAsia="zh-CN"/>
        </w:rPr>
        <w:t>2024年12月31日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tbl>
      <w:tblPr>
        <w:tblStyle w:val="7"/>
        <w:tblpPr w:leftFromText="180" w:rightFromText="180" w:vertAnchor="text" w:horzAnchor="page" w:tblpX="1234" w:tblpY="450"/>
        <w:tblOverlap w:val="never"/>
        <w:tblW w:w="964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7"/>
        <w:gridCol w:w="1899"/>
        <w:gridCol w:w="618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tcBorders>
              <w:tl2br w:val="nil"/>
              <w:tr2bl w:val="nil"/>
            </w:tcBorders>
            <w:vAlign w:val="center"/>
          </w:tcPr>
          <w:p>
            <w:pPr>
              <w:spacing w:line="360" w:lineRule="auto"/>
              <w:jc w:val="center"/>
              <w:rPr>
                <w:rFonts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2"/>
            <w:tcBorders>
              <w:tl2br w:val="nil"/>
              <w:tr2bl w:val="nil"/>
            </w:tcBorders>
            <w:shd w:val="clear" w:color="auto" w:fill="auto"/>
            <w:vAlign w:val="center"/>
          </w:tcPr>
          <w:p>
            <w:pPr>
              <w:jc w:val="center"/>
              <w:rPr>
                <w:rFonts w:ascii="Cambria" w:hAnsi="Cambria"/>
                <w:b/>
                <w:bCs/>
                <w:sz w:val="24"/>
                <w:szCs w:val="24"/>
              </w:rPr>
            </w:pPr>
            <w:r>
              <w:rPr>
                <w:rFonts w:hint="eastAsia" w:ascii="Cambria" w:hAnsi="Cambria"/>
                <w:b/>
                <w:bCs/>
                <w:sz w:val="24"/>
                <w:szCs w:val="24"/>
                <w:lang w:eastAsia="zh-CN"/>
              </w:rPr>
              <w:t>服务细则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HR交付审核</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简历精准推送</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简历预判、精筛分流：基本信息、技术标签，年限，技术级别，技术点使用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邀约面试</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发送面试邀约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面试跟进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如约、改约、放弃等状态跟进，避免爽约率，提高到面率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谈薪offer发放</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协助企业谈薪，捕捉候选人诉求意愿，避免放弃offer概率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入职报道跟进</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增加粘度，提高入职率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入职阶段的跟进维护，提高交付率及稳定性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restart"/>
            <w:tcBorders>
              <w:tl2br w:val="nil"/>
              <w:tr2bl w:val="nil"/>
            </w:tcBorders>
            <w:vAlign w:val="center"/>
          </w:tcPr>
          <w:p>
            <w:pPr>
              <w:spacing w:line="360" w:lineRule="auto"/>
              <w:jc w:val="center"/>
              <w:rPr>
                <w:rFonts w:ascii="宋体" w:hAnsi="宋体"/>
                <w:b/>
                <w:bCs/>
                <w:color w:val="000000"/>
                <w:sz w:val="24"/>
                <w:szCs w:val="24"/>
                <w:lang w:eastAsia="zh-CN"/>
              </w:rPr>
            </w:pPr>
            <w:r>
              <w:rPr>
                <w:rFonts w:hint="eastAsia" w:ascii="宋体" w:hAnsi="宋体"/>
                <w:b/>
                <w:bCs/>
                <w:color w:val="000000"/>
                <w:sz w:val="24"/>
                <w:szCs w:val="24"/>
                <w:lang w:eastAsia="zh-CN"/>
              </w:rPr>
              <w:t>交付服务顾问</w:t>
            </w: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制定交付方案</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招聘岗位的</w:t>
            </w:r>
            <w:r>
              <w:rPr>
                <w:rFonts w:ascii="宋体" w:hAnsi="宋体"/>
                <w:sz w:val="24"/>
                <w:szCs w:val="24"/>
                <w:lang w:eastAsia="zh-CN"/>
              </w:rPr>
              <w:t>JD</w:t>
            </w:r>
            <w:r>
              <w:rPr>
                <w:rFonts w:hint="eastAsia" w:ascii="宋体" w:hAnsi="宋体"/>
                <w:sz w:val="24"/>
                <w:szCs w:val="24"/>
                <w:lang w:eastAsia="zh-CN"/>
              </w:rPr>
              <w:t>解析，制定交付方案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sz w:val="24"/>
                <w:szCs w:val="24"/>
                <w:lang w:eastAsia="zh-CN"/>
              </w:rPr>
            </w:pPr>
            <w:r>
              <w:rPr>
                <w:rFonts w:hint="eastAsia" w:ascii="宋体" w:hAnsi="宋体"/>
                <w:sz w:val="24"/>
                <w:szCs w:val="24"/>
                <w:lang w:eastAsia="zh-CN"/>
              </w:rPr>
              <w:t>协同</w:t>
            </w:r>
            <w:r>
              <w:rPr>
                <w:rFonts w:ascii="宋体" w:hAnsi="宋体"/>
                <w:sz w:val="24"/>
                <w:szCs w:val="24"/>
                <w:lang w:eastAsia="zh-CN"/>
              </w:rPr>
              <w:t>HR</w:t>
            </w:r>
            <w:r>
              <w:rPr>
                <w:rFonts w:hint="eastAsia" w:ascii="宋体" w:hAnsi="宋体"/>
                <w:sz w:val="24"/>
                <w:szCs w:val="24"/>
                <w:lang w:eastAsia="zh-CN"/>
              </w:rPr>
              <w:t>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制定H</w:t>
            </w:r>
            <w:r>
              <w:rPr>
                <w:rFonts w:ascii="宋体" w:hAnsi="宋体"/>
                <w:sz w:val="24"/>
                <w:szCs w:val="24"/>
                <w:lang w:eastAsia="zh-CN"/>
              </w:rPr>
              <w:t>R</w:t>
            </w:r>
            <w:r>
              <w:rPr>
                <w:rFonts w:hint="eastAsia" w:ascii="宋体" w:hAnsi="宋体"/>
                <w:sz w:val="24"/>
                <w:szCs w:val="24"/>
                <w:lang w:eastAsia="zh-CN"/>
              </w:rPr>
              <w:t>审核标准，协助HR提高交付质量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trPr>
        <w:tc>
          <w:tcPr>
            <w:tcW w:w="1567" w:type="dxa"/>
            <w:vMerge w:val="continue"/>
            <w:tcBorders>
              <w:tl2br w:val="nil"/>
              <w:tr2bl w:val="nil"/>
            </w:tcBorders>
            <w:vAlign w:val="center"/>
          </w:tcPr>
          <w:p>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pPr>
              <w:spacing w:line="360" w:lineRule="auto"/>
              <w:jc w:val="center"/>
              <w:rPr>
                <w:rFonts w:ascii="宋体" w:hAnsi="宋体"/>
                <w:b/>
                <w:bCs/>
                <w:sz w:val="24"/>
                <w:szCs w:val="24"/>
                <w:lang w:eastAsia="zh-CN"/>
              </w:rPr>
            </w:pPr>
            <w:r>
              <w:rPr>
                <w:rFonts w:hint="eastAsia" w:ascii="宋体" w:hAnsi="宋体"/>
                <w:sz w:val="24"/>
                <w:szCs w:val="24"/>
                <w:lang w:eastAsia="zh-CN"/>
              </w:rPr>
              <w:t>完成交付</w:t>
            </w:r>
          </w:p>
        </w:tc>
        <w:tc>
          <w:tcPr>
            <w:tcW w:w="6181" w:type="dxa"/>
            <w:tcBorders>
              <w:tl2br w:val="nil"/>
              <w:tr2bl w:val="nil"/>
            </w:tcBorders>
            <w:vAlign w:val="center"/>
          </w:tcPr>
          <w:p>
            <w:pPr>
              <w:spacing w:line="360" w:lineRule="auto"/>
              <w:rPr>
                <w:rFonts w:ascii="宋体" w:hAnsi="宋体"/>
                <w:sz w:val="24"/>
                <w:szCs w:val="24"/>
                <w:lang w:eastAsia="zh-CN"/>
              </w:rPr>
            </w:pPr>
            <w:r>
              <w:rPr>
                <w:rFonts w:hint="eastAsia" w:ascii="宋体" w:hAnsi="宋体"/>
                <w:sz w:val="24"/>
                <w:szCs w:val="24"/>
                <w:lang w:eastAsia="zh-CN"/>
              </w:rPr>
              <w:t>提供入职数据报表/分析报告</w:t>
            </w:r>
          </w:p>
        </w:tc>
      </w:tr>
    </w:tbl>
    <w:p>
      <w:pPr>
        <w:numPr>
          <w:ilvl w:val="0"/>
          <w:numId w:val="1"/>
        </w:numPr>
        <w:spacing w:line="360" w:lineRule="auto"/>
        <w:rPr>
          <w:rFonts w:ascii="宋体" w:hAnsi="宋体"/>
          <w:sz w:val="24"/>
          <w:szCs w:val="24"/>
          <w:lang w:eastAsia="zh-CN"/>
        </w:rPr>
      </w:pPr>
      <w:r>
        <w:rPr>
          <w:rFonts w:hint="eastAsia" w:ascii="宋体" w:hAnsi="宋体"/>
          <w:sz w:val="24"/>
          <w:szCs w:val="24"/>
          <w:lang w:eastAsia="zh-CN"/>
        </w:rPr>
        <w:t>乙方按合同约定期限为甲方提供</w:t>
      </w:r>
      <w:r>
        <w:rPr>
          <w:rFonts w:hint="eastAsia" w:ascii="宋体" w:hAnsi="宋体"/>
          <w:b/>
          <w:bCs/>
          <w:sz w:val="24"/>
          <w:szCs w:val="24"/>
          <w:lang w:eastAsia="zh-CN"/>
        </w:rPr>
        <w:t>闪推服务</w:t>
      </w:r>
      <w:r>
        <w:rPr>
          <w:rFonts w:hint="eastAsia" w:ascii="宋体" w:hAnsi="宋体"/>
          <w:sz w:val="24"/>
          <w:szCs w:val="24"/>
          <w:lang w:eastAsia="zh-CN"/>
        </w:rPr>
        <w:t>项目如下：</w:t>
      </w:r>
    </w:p>
    <w:p>
      <w:pPr>
        <w:spacing w:before="120" w:beforeLines="50" w:line="360" w:lineRule="auto"/>
        <w:rPr>
          <w:rFonts w:ascii="宋体" w:hAnsi="宋体"/>
          <w:sz w:val="24"/>
          <w:szCs w:val="24"/>
          <w:lang w:eastAsia="zh-CN"/>
        </w:rPr>
      </w:pPr>
      <w:r>
        <w:rPr>
          <w:rFonts w:hint="eastAsia" w:ascii="宋体" w:hAnsi="宋体"/>
          <w:sz w:val="24"/>
          <w:szCs w:val="24"/>
          <w:lang w:eastAsia="zh-CN"/>
        </w:rPr>
        <w:t>闪推交付服务的入驻平台费用合计：</w:t>
      </w:r>
      <w:r>
        <w:rPr>
          <w:rFonts w:hint="eastAsia" w:ascii="宋体" w:hAnsi="宋体"/>
          <w:sz w:val="24"/>
          <w:szCs w:val="24"/>
          <w:u w:val="single"/>
          <w:lang w:eastAsia="zh-CN"/>
        </w:rPr>
        <w:t xml:space="preserve"> </w:t>
      </w:r>
      <w:r>
        <w:rPr>
          <w:rFonts w:ascii="宋体" w:hAnsi="宋体"/>
          <w:sz w:val="24"/>
          <w:szCs w:val="24"/>
          <w:u w:val="single"/>
          <w:lang w:eastAsia="zh-CN"/>
        </w:rPr>
        <w:t>18800.0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 xml:space="preserve"> </w:t>
      </w:r>
      <w:r>
        <w:rPr>
          <w:rFonts w:ascii="宋体" w:hAnsi="宋体"/>
          <w:sz w:val="24"/>
          <w:szCs w:val="24"/>
          <w:u w:val="single"/>
          <w:lang w:eastAsia="zh-CN"/>
        </w:rPr>
        <w:t>壹万捌仟捌佰元整</w:t>
      </w:r>
      <w:r>
        <w:rPr>
          <w:rFonts w:hint="eastAsia" w:ascii="宋体" w:hAnsi="宋体"/>
          <w:sz w:val="24"/>
          <w:szCs w:val="24"/>
          <w:u w:val="single"/>
          <w:lang w:eastAsia="zh-CN"/>
        </w:rPr>
        <w:t xml:space="preserve"> </w:t>
      </w:r>
      <w:r>
        <w:rPr>
          <w:rFonts w:hint="eastAsia" w:ascii="宋体" w:hAnsi="宋体"/>
          <w:sz w:val="24"/>
          <w:szCs w:val="24"/>
          <w:lang w:eastAsia="zh-CN"/>
        </w:rPr>
        <w:t>。</w:t>
      </w:r>
    </w:p>
    <w:p>
      <w:pPr>
        <w:pStyle w:val="14"/>
        <w:spacing w:line="360" w:lineRule="auto"/>
        <w:ind w:firstLine="0" w:firstLineChars="0"/>
        <w:outlineLvl w:val="0"/>
        <w:rPr>
          <w:rFonts w:ascii="宋体" w:hAnsi="宋体"/>
          <w:b/>
          <w:bCs/>
          <w:sz w:val="24"/>
          <w:szCs w:val="24"/>
          <w:lang w:eastAsia="zh-CN"/>
        </w:rPr>
      </w:pPr>
      <w:r>
        <w:rPr>
          <w:rFonts w:hint="eastAsia" w:ascii="宋体" w:hAnsi="宋体"/>
          <w:b/>
          <w:bCs/>
          <w:sz w:val="24"/>
          <w:szCs w:val="24"/>
          <w:lang w:eastAsia="zh-CN"/>
        </w:rPr>
        <w:t>第二条、费用及支付</w:t>
      </w:r>
    </w:p>
    <w:p>
      <w:pPr>
        <w:pStyle w:val="2"/>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入职候选人税前一个月工资作为服务费</w:t>
      </w:r>
      <w:r>
        <w:rPr>
          <w:rFonts w:hint="eastAsia"/>
          <w:sz w:val="24"/>
          <w:szCs w:val="24"/>
        </w:rPr>
        <w:t>。</w:t>
      </w:r>
    </w:p>
    <w:p>
      <w:pPr>
        <w:pStyle w:val="2"/>
        <w:spacing w:line="360" w:lineRule="auto"/>
        <w:ind w:firstLine="424" w:firstLineChars="177"/>
        <w:rPr>
          <w:sz w:val="24"/>
          <w:szCs w:val="24"/>
        </w:rPr>
      </w:pPr>
      <w:r>
        <w:rPr>
          <w:rFonts w:hint="eastAsia"/>
          <w:sz w:val="24"/>
          <w:szCs w:val="24"/>
        </w:rPr>
        <w:t>注：入职候选人的薪资确认以双方邮件确认或以平台发放offer中的薪资为准。</w:t>
      </w:r>
    </w:p>
    <w:p>
      <w:pPr>
        <w:pStyle w:val="2"/>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pPr>
        <w:pStyle w:val="2"/>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pPr>
        <w:spacing w:line="360" w:lineRule="auto"/>
        <w:rPr>
          <w:rFonts w:ascii="宋体" w:hAnsi="宋体"/>
          <w:b/>
          <w:bCs/>
          <w:sz w:val="24"/>
          <w:szCs w:val="24"/>
          <w:lang w:eastAsia="zh-CN"/>
        </w:rPr>
      </w:pPr>
      <w:r>
        <w:rPr>
          <w:rFonts w:hint="eastAsia" w:ascii="宋体" w:hAnsi="宋体"/>
          <w:b/>
          <w:bCs/>
          <w:sz w:val="24"/>
          <w:szCs w:val="24"/>
          <w:lang w:eastAsia="zh-CN"/>
        </w:rPr>
        <w:t>银行汇款</w:t>
      </w:r>
    </w:p>
    <w:p>
      <w:pPr>
        <w:spacing w:line="360" w:lineRule="auto"/>
        <w:ind w:firstLine="420"/>
        <w:rPr>
          <w:rFonts w:ascii="宋体" w:hAnsi="宋体"/>
          <w:sz w:val="24"/>
          <w:szCs w:val="24"/>
          <w:lang w:eastAsia="zh-CN"/>
        </w:rPr>
      </w:pPr>
      <w:r>
        <w:rPr>
          <w:rFonts w:hint="eastAsia" w:ascii="宋体" w:hAnsi="宋体"/>
          <w:sz w:val="24"/>
          <w:szCs w:val="24"/>
          <w:lang w:eastAsia="zh-CN"/>
        </w:rPr>
        <w:t>开户名称：迎得未来（北京）科技有限公司</w:t>
      </w:r>
    </w:p>
    <w:p>
      <w:pPr>
        <w:spacing w:line="360" w:lineRule="auto"/>
        <w:ind w:right="3565" w:firstLine="420"/>
        <w:rPr>
          <w:rFonts w:ascii="宋体" w:hAnsi="宋体"/>
          <w:sz w:val="24"/>
          <w:szCs w:val="24"/>
          <w:lang w:eastAsia="zh-CN"/>
        </w:rPr>
      </w:pPr>
      <w:r>
        <w:rPr>
          <w:rFonts w:hint="eastAsia" w:ascii="宋体" w:hAnsi="宋体"/>
          <w:sz w:val="24"/>
          <w:szCs w:val="24"/>
          <w:lang w:eastAsia="zh-CN"/>
        </w:rPr>
        <w:t>开户银行：招商银行股份有限公司北京上地支行</w:t>
      </w:r>
    </w:p>
    <w:p>
      <w:pPr>
        <w:spacing w:line="360" w:lineRule="auto"/>
        <w:ind w:firstLine="420"/>
        <w:rPr>
          <w:rFonts w:ascii="宋体" w:hAnsi="宋体"/>
          <w:sz w:val="24"/>
          <w:szCs w:val="24"/>
          <w:lang w:eastAsia="zh-CN"/>
        </w:rPr>
      </w:pPr>
      <w:r>
        <w:rPr>
          <w:rFonts w:hint="eastAsia" w:ascii="宋体" w:hAnsi="宋体"/>
          <w:sz w:val="24"/>
          <w:szCs w:val="24"/>
          <w:lang w:eastAsia="zh-CN"/>
        </w:rPr>
        <w:t>帐    号：110944631310503</w:t>
      </w:r>
    </w:p>
    <w:p>
      <w:pPr>
        <w:spacing w:line="360" w:lineRule="auto"/>
        <w:rPr>
          <w:rFonts w:ascii="宋体" w:hAnsi="宋体"/>
          <w:sz w:val="24"/>
          <w:szCs w:val="24"/>
          <w:lang w:eastAsia="zh-CN"/>
        </w:rPr>
      </w:pPr>
      <w:r>
        <w:rPr>
          <w:rFonts w:hint="eastAsia" w:ascii="宋体" w:hAnsi="宋体"/>
          <w:b/>
          <w:bCs/>
          <w:sz w:val="24"/>
          <w:szCs w:val="24"/>
          <w:lang w:eastAsia="zh-CN"/>
        </w:rPr>
        <w:t>甲方发票信息</w:t>
      </w:r>
    </w:p>
    <w:p>
      <w:pPr>
        <w:spacing w:line="360" w:lineRule="auto"/>
        <w:ind w:firstLine="420"/>
        <w:rPr>
          <w:rFonts w:ascii="宋体" w:hAnsi="宋体"/>
          <w:sz w:val="24"/>
          <w:szCs w:val="24"/>
          <w:lang w:eastAsia="zh-CN"/>
        </w:rPr>
      </w:pPr>
      <w:r>
        <w:rPr>
          <w:rFonts w:hint="eastAsia" w:ascii="宋体" w:hAnsi="宋体"/>
          <w:sz w:val="24"/>
          <w:szCs w:val="24"/>
          <w:lang w:eastAsia="zh-CN"/>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113001公司</w:t>
      </w:r>
    </w:p>
    <w:p>
      <w:pPr>
        <w:spacing w:line="360" w:lineRule="auto"/>
        <w:ind w:firstLine="420"/>
        <w:rPr>
          <w:rFonts w:ascii="宋体" w:hAnsi="宋体"/>
          <w:sz w:val="24"/>
          <w:szCs w:val="24"/>
          <w:lang w:eastAsia="zh-CN"/>
        </w:rPr>
      </w:pPr>
      <w:r>
        <w:rPr>
          <w:rFonts w:hint="eastAsia" w:ascii="宋体" w:hAnsi="宋体"/>
          <w:sz w:val="24"/>
          <w:szCs w:val="24"/>
          <w:lang w:eastAsia="zh-CN"/>
        </w:rPr>
        <w:t>纳税人识别号:</w:t>
      </w:r>
      <w:r>
        <w:rPr>
          <w:rFonts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1010123456789</w:t>
      </w:r>
    </w:p>
    <w:p>
      <w:pPr>
        <w:spacing w:line="360" w:lineRule="auto"/>
        <w:ind w:firstLine="420"/>
        <w:rPr>
          <w:rFonts w:ascii="宋体" w:hAnsi="宋体"/>
          <w:sz w:val="24"/>
          <w:szCs w:val="24"/>
          <w:lang w:eastAsia="zh-CN"/>
        </w:rPr>
      </w:pPr>
      <w:r>
        <w:rPr>
          <w:rFonts w:hint="eastAsia" w:ascii="宋体" w:hAnsi="宋体"/>
          <w:sz w:val="24"/>
          <w:szCs w:val="24"/>
          <w:lang w:eastAsia="zh-CN"/>
        </w:rPr>
        <w:t>地    址：北京市海淀区上地</w:t>
      </w:r>
    </w:p>
    <w:p>
      <w:pPr>
        <w:spacing w:line="360" w:lineRule="auto"/>
        <w:ind w:firstLine="420"/>
        <w:rPr>
          <w:rFonts w:ascii="宋体" w:hAnsi="宋体"/>
          <w:sz w:val="24"/>
          <w:szCs w:val="24"/>
          <w:lang w:eastAsia="zh-CN"/>
        </w:rPr>
      </w:pPr>
      <w:r>
        <w:rPr>
          <w:rFonts w:hint="eastAsia" w:ascii="宋体" w:hAnsi="宋体"/>
          <w:sz w:val="24"/>
          <w:szCs w:val="24"/>
          <w:lang w:eastAsia="zh-CN"/>
        </w:rPr>
        <w:t>电    话：</w:t>
      </w:r>
      <w:r>
        <w:rPr>
          <w:rFonts w:ascii="宋体" w:hAnsi="宋体"/>
          <w:sz w:val="24"/>
          <w:szCs w:val="24"/>
          <w:lang w:eastAsia="zh-CN"/>
        </w:rPr>
        <w:t>17698562351</w:t>
      </w:r>
    </w:p>
    <w:p>
      <w:pPr>
        <w:spacing w:line="360" w:lineRule="auto"/>
        <w:ind w:firstLine="420"/>
        <w:rPr>
          <w:rFonts w:ascii="宋体" w:hAnsi="宋体"/>
          <w:sz w:val="24"/>
          <w:szCs w:val="24"/>
          <w:lang w:eastAsia="zh-CN"/>
        </w:rPr>
      </w:pPr>
      <w:r>
        <w:rPr>
          <w:rFonts w:hint="eastAsia" w:ascii="宋体" w:hAnsi="宋体"/>
          <w:sz w:val="24"/>
          <w:szCs w:val="24"/>
          <w:lang w:eastAsia="zh-CN"/>
        </w:rPr>
        <w:t>开 户 行：北京市海淀区上地北京银行</w:t>
      </w:r>
    </w:p>
    <w:p>
      <w:pPr>
        <w:spacing w:line="360" w:lineRule="auto"/>
        <w:ind w:firstLine="420"/>
        <w:rPr>
          <w:rFonts w:ascii="宋体" w:hAnsi="宋体"/>
          <w:sz w:val="24"/>
          <w:szCs w:val="24"/>
          <w:lang w:eastAsia="zh-CN"/>
        </w:rPr>
      </w:pPr>
      <w:r>
        <w:rPr>
          <w:rFonts w:hint="eastAsia" w:ascii="宋体" w:hAnsi="宋体"/>
          <w:sz w:val="24"/>
          <w:szCs w:val="24"/>
          <w:lang w:eastAsia="zh-CN"/>
        </w:rPr>
        <w:t>账    号：</w:t>
      </w:r>
      <w:r>
        <w:rPr>
          <w:rFonts w:ascii="宋体" w:hAnsi="宋体"/>
          <w:sz w:val="24"/>
          <w:szCs w:val="24"/>
          <w:lang w:eastAsia="zh-CN"/>
        </w:rPr>
        <w:t>1001023456</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如果甲方未能按合同约定支付所应付之款项，则自应付之日起按应付金额的日千分之三支付滞纳金，直至甲方支付完所有应付款之日止，且乙方有权随时终止合同。</w:t>
      </w:r>
    </w:p>
    <w:p>
      <w:pPr>
        <w:numPr>
          <w:ilvl w:val="0"/>
          <w:numId w:val="2"/>
        </w:numPr>
        <w:spacing w:line="360" w:lineRule="auto"/>
        <w:rPr>
          <w:rFonts w:ascii="宋体" w:hAnsi="宋体"/>
          <w:sz w:val="24"/>
          <w:szCs w:val="24"/>
          <w:lang w:eastAsia="zh-CN"/>
        </w:rPr>
      </w:pPr>
      <w:r>
        <w:rPr>
          <w:rFonts w:hint="eastAsia" w:ascii="宋体" w:hAnsi="宋体"/>
          <w:sz w:val="24"/>
          <w:szCs w:val="24"/>
          <w:lang w:eastAsia="zh-CN"/>
        </w:rPr>
        <w:t>争议解决：本合同履行过程中如发生争议，应友好协商解决，协商不成，双方同意向北京仲裁委员会提起仲裁</w:t>
      </w:r>
    </w:p>
    <w:p>
      <w:pPr>
        <w:spacing w:line="360" w:lineRule="auto"/>
        <w:rPr>
          <w:rFonts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ST-20231130-004-01</w:t>
      </w:r>
      <w:r>
        <w:rPr>
          <w:rFonts w:hint="eastAsia" w:ascii="宋体" w:hAnsi="宋体"/>
          <w:color w:val="000000"/>
          <w:sz w:val="24"/>
          <w:szCs w:val="24"/>
          <w:lang w:eastAsia="zh-CN"/>
        </w:rPr>
        <w:t>）一式两份，甲乙方各执一份。</w:t>
      </w:r>
    </w:p>
    <w:p>
      <w:pPr>
        <w:spacing w:line="360" w:lineRule="auto"/>
        <w:rPr>
          <w:rFonts w:ascii="宋体" w:hAnsi="宋体"/>
          <w:color w:val="000000"/>
          <w:sz w:val="24"/>
          <w:szCs w:val="24"/>
          <w:lang w:eastAsia="zh-CN"/>
        </w:rPr>
      </w:pPr>
    </w:p>
    <w:p>
      <w:pPr>
        <w:spacing w:line="360" w:lineRule="auto"/>
        <w:rPr>
          <w:rFonts w:ascii="宋体" w:hAnsi="宋体"/>
          <w:b/>
          <w:bCs/>
          <w:sz w:val="24"/>
          <w:szCs w:val="24"/>
          <w:lang w:eastAsia="zh-CN"/>
        </w:rPr>
      </w:pPr>
      <w:r>
        <w:rPr>
          <w:rFonts w:hint="eastAsia" w:ascii="宋体" w:hAnsi="宋体"/>
          <w:b/>
          <w:bCs/>
          <w:sz w:val="24"/>
          <w:szCs w:val="24"/>
          <w:lang w:eastAsia="zh-CN"/>
        </w:rPr>
        <w:t>备注：</w:t>
      </w:r>
    </w:p>
    <w:p>
      <w:pPr>
        <w:spacing w:line="360" w:lineRule="auto"/>
        <w:ind w:firstLine="420"/>
        <w:rPr>
          <w:rFonts w:ascii="宋体" w:hAnsi="宋体"/>
          <w:b/>
          <w:bCs/>
          <w:sz w:val="24"/>
          <w:szCs w:val="24"/>
          <w:lang w:eastAsia="zh-CN"/>
        </w:rPr>
      </w:pPr>
      <w:r>
        <w:rPr>
          <w:rFonts w:hint="eastAsia" w:ascii="宋体" w:hAnsi="宋体"/>
          <w:b/>
          <w:bCs/>
          <w:sz w:val="24"/>
          <w:szCs w:val="24"/>
          <w:lang w:eastAsia="zh-CN"/>
        </w:rPr>
        <w:t>甲方指定以下人员作为授权代表开通并使用本服务，该人员在开通及使用本服务过程中所实施的行为视为甲方公司之行为，由甲方对此承担相应责任：</w:t>
      </w:r>
    </w:p>
    <w:p>
      <w:pPr>
        <w:spacing w:line="360" w:lineRule="auto"/>
        <w:rPr>
          <w:rFonts w:ascii="宋体" w:hAnsi="宋体"/>
          <w:sz w:val="24"/>
          <w:szCs w:val="24"/>
          <w:lang w:eastAsia="zh-CN"/>
        </w:rPr>
      </w:pPr>
      <w:r>
        <w:rPr>
          <w:rFonts w:hint="eastAsia" w:ascii="宋体" w:hAnsi="宋体"/>
          <w:sz w:val="24"/>
          <w:szCs w:val="24"/>
          <w:lang w:eastAsia="zh-CN"/>
        </w:rPr>
        <w:t xml:space="preserve">姓名：                                 电子邮件：                     </w:t>
      </w:r>
    </w:p>
    <w:p>
      <w:pPr>
        <w:spacing w:line="360" w:lineRule="auto"/>
        <w:rPr>
          <w:rFonts w:ascii="宋体" w:hAnsi="宋体"/>
          <w:sz w:val="24"/>
          <w:szCs w:val="24"/>
          <w:lang w:eastAsia="zh-CN"/>
        </w:rPr>
      </w:pPr>
      <w:r>
        <w:rPr>
          <w:rFonts w:hint="eastAsia" w:ascii="宋体" w:hAnsi="宋体"/>
          <w:sz w:val="24"/>
          <w:szCs w:val="24"/>
          <w:lang w:eastAsia="zh-CN"/>
        </w:rPr>
        <w:t>手机号：                               固定电话：</w:t>
      </w: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678"/>
        <w:gridCol w:w="4961"/>
      </w:tblGrid>
      <w:tr>
        <w:tblPrEx>
          <w:tblCellMar>
            <w:top w:w="0" w:type="dxa"/>
            <w:left w:w="108" w:type="dxa"/>
            <w:bottom w:w="0" w:type="dxa"/>
            <w:right w:w="108" w:type="dxa"/>
          </w:tblCellMar>
        </w:tblPrEx>
        <w:trPr>
          <w:trHeight w:val="410" w:hRule="atLeast"/>
        </w:trPr>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甲    方：</w:t>
            </w:r>
          </w:p>
        </w:tc>
        <w:tc>
          <w:tcPr>
            <w:tcW w:w="4961" w:type="dxa"/>
            <w:tcBorders>
              <w:top w:val="nil"/>
              <w:left w:val="nil"/>
              <w:bottom w:val="nil"/>
              <w:right w:val="nil"/>
            </w:tcBorders>
            <w:vAlign w:val="center"/>
          </w:tcPr>
          <w:p>
            <w:pPr>
              <w:spacing w:line="360" w:lineRule="auto"/>
              <w:rPr>
                <w:rFonts w:ascii="宋体" w:hAnsi="宋体"/>
                <w:b/>
                <w:bCs/>
                <w:color w:val="000000"/>
                <w:sz w:val="24"/>
                <w:szCs w:val="24"/>
                <w:lang w:eastAsia="zh-CN"/>
              </w:rPr>
            </w:pPr>
            <w:r>
              <w:rPr>
                <w:rFonts w:hint="eastAsia" w:ascii="宋体" w:hAnsi="宋体"/>
                <w:b/>
                <w:bCs/>
                <w:sz w:val="24"/>
                <w:szCs w:val="24"/>
                <w:lang w:eastAsia="zh-CN"/>
              </w:rPr>
              <w:t>乙    方：迎得未来（北京）科技有限公司</w:t>
            </w:r>
          </w:p>
        </w:tc>
      </w:tr>
      <w:tr>
        <w:tblPrEx>
          <w:tblCellMar>
            <w:top w:w="0" w:type="dxa"/>
            <w:left w:w="108" w:type="dxa"/>
            <w:bottom w:w="0" w:type="dxa"/>
            <w:right w:w="108" w:type="dxa"/>
          </w:tblCellMar>
        </w:tblPrEx>
        <w:trPr>
          <w:trHeight w:val="466" w:hRule="atLeast"/>
        </w:trPr>
        <w:tc>
          <w:tcPr>
            <w:tcW w:w="4678" w:type="dxa"/>
            <w:tcBorders>
              <w:top w:val="nil"/>
              <w:left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rPr>
          <w:trHeight w:val="466" w:hRule="atLeast"/>
        </w:trPr>
        <w:tc>
          <w:tcPr>
            <w:tcW w:w="4678" w:type="dxa"/>
            <w:tcBorders>
              <w:left w:val="nil"/>
              <w:bottom w:val="nil"/>
              <w:right w:val="nil"/>
            </w:tcBorders>
            <w:vAlign w:val="center"/>
          </w:tcPr>
          <w:p>
            <w:pPr>
              <w:spacing w:line="360" w:lineRule="auto"/>
            </w:pPr>
            <w:r>
              <w:rPr>
                <w:rFonts w:hint="eastAsia" w:ascii="宋体" w:hAnsi="宋体"/>
                <w:b/>
                <w:bCs/>
                <w:sz w:val="24"/>
                <w:szCs w:val="24"/>
                <w:lang w:eastAsia="zh-CN"/>
              </w:rPr>
              <w:t>联系邮箱：</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联系邮箱：</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    章：</w:t>
            </w:r>
          </w:p>
        </w:tc>
        <w:tc>
          <w:tcPr>
            <w:tcW w:w="4961"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lang w:eastAsia="zh-CN"/>
              </w:rPr>
              <w:t>盖</w:t>
            </w:r>
            <w:r>
              <w:rPr>
                <w:rFonts w:hint="eastAsia"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678" w:type="dxa"/>
            <w:tcBorders>
              <w:top w:val="nil"/>
              <w:left w:val="nil"/>
              <w:bottom w:val="nil"/>
              <w:right w:val="nil"/>
            </w:tcBorders>
            <w:vAlign w:val="center"/>
          </w:tcPr>
          <w:p>
            <w:pPr>
              <w:spacing w:line="360" w:lineRule="auto"/>
              <w:rPr>
                <w:rFonts w:ascii="宋体" w:hAnsi="宋体"/>
                <w:b/>
                <w:bCs/>
                <w:sz w:val="24"/>
                <w:szCs w:val="24"/>
                <w:lang w:eastAsia="zh-CN"/>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p>
        </w:tc>
        <w:tc>
          <w:tcPr>
            <w:tcW w:w="4961" w:type="dxa"/>
            <w:tcBorders>
              <w:top w:val="nil"/>
              <w:left w:val="nil"/>
              <w:bottom w:val="nil"/>
              <w:right w:val="nil"/>
            </w:tcBorders>
            <w:vAlign w:val="center"/>
          </w:tcPr>
          <w:p>
            <w:pPr>
              <w:spacing w:line="360" w:lineRule="auto"/>
              <w:rPr>
                <w:rFonts w:ascii="宋体" w:hAnsi="宋体"/>
                <w:b/>
                <w:bCs/>
                <w:sz w:val="24"/>
                <w:szCs w:val="24"/>
              </w:rPr>
            </w:pPr>
            <w:r>
              <w:rPr>
                <w:rFonts w:hint="eastAsia" w:ascii="宋体" w:hAnsi="宋体"/>
                <w:b/>
                <w:bCs/>
                <w:sz w:val="24"/>
                <w:szCs w:val="24"/>
              </w:rPr>
              <w:t>日</w:t>
            </w:r>
            <w:r>
              <w:rPr>
                <w:rFonts w:hint="eastAsia" w:ascii="宋体" w:hAnsi="宋体"/>
                <w:b/>
                <w:bCs/>
                <w:sz w:val="24"/>
                <w:szCs w:val="24"/>
                <w:lang w:eastAsia="zh-CN"/>
              </w:rPr>
              <w:t xml:space="preserve">    </w:t>
            </w:r>
            <w:r>
              <w:rPr>
                <w:rFonts w:hint="eastAsia" w:ascii="宋体" w:hAnsi="宋体"/>
                <w:b/>
                <w:bCs/>
                <w:sz w:val="24"/>
                <w:szCs w:val="24"/>
              </w:rPr>
              <w:t>期</w:t>
            </w:r>
            <w:r>
              <w:rPr>
                <w:rFonts w:hint="eastAsia" w:ascii="宋体" w:hAnsi="宋体"/>
                <w:b/>
                <w:bCs/>
                <w:color w:val="000000"/>
                <w:sz w:val="24"/>
                <w:szCs w:val="24"/>
                <w:lang w:eastAsia="zh-CN"/>
              </w:rPr>
              <w:t>：</w:t>
            </w:r>
          </w:p>
        </w:tc>
      </w:tr>
    </w:tbl>
    <w:p>
      <w:pPr>
        <w:spacing w:line="360" w:lineRule="auto"/>
        <w:rPr>
          <w:rFonts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pPr>
    </w:p>
    <w:p>
      <w:pPr>
        <w:spacing w:line="360" w:lineRule="auto"/>
        <w:jc w:val="center"/>
        <w:rPr>
          <w:rFonts w:ascii="宋体" w:hAnsi="宋体"/>
          <w:b/>
          <w:bCs/>
          <w:sz w:val="28"/>
          <w:szCs w:val="28"/>
          <w:lang w:eastAsia="zh-CN"/>
        </w:rPr>
        <w:sectPr>
          <w:type w:val="continuous"/>
          <w:pgSz w:w="11909" w:h="16834"/>
          <w:pgMar w:top="936" w:right="1134" w:bottom="426" w:left="1134" w:header="624" w:footer="170" w:gutter="0"/>
          <w:pgNumType w:fmt="numberInDash" w:chapStyle="2"/>
          <w:cols w:space="720" w:num="1"/>
          <w:docGrid w:linePitch="272" w:charSpace="0"/>
        </w:sectPr>
      </w:pPr>
    </w:p>
    <w:p>
      <w:pPr>
        <w:spacing w:line="360" w:lineRule="auto"/>
        <w:rPr>
          <w:rFonts w:ascii="宋体" w:hAnsi="宋体"/>
          <w:b/>
          <w:bCs/>
          <w:sz w:val="24"/>
          <w:szCs w:val="24"/>
          <w:lang w:eastAsia="zh-CN"/>
        </w:rPr>
        <w:sectPr>
          <w:headerReference r:id="rId5" w:type="default"/>
          <w:footerReference r:id="rId6" w:type="default"/>
          <w:type w:val="continuous"/>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pPr>
        <w:spacing w:line="360" w:lineRule="auto"/>
        <w:jc w:val="center"/>
        <w:rPr>
          <w:rFonts w:ascii="宋体" w:eastAsia="Times New Roman"/>
          <w:b/>
          <w:bCs/>
          <w:sz w:val="28"/>
          <w:szCs w:val="28"/>
          <w:lang w:eastAsia="zh-CN"/>
        </w:rPr>
      </w:pPr>
      <w:r>
        <w:rPr>
          <w:rFonts w:hint="eastAsia" w:ascii="宋体" w:hAnsi="宋体"/>
          <w:b/>
          <w:bCs/>
          <w:sz w:val="28"/>
          <w:szCs w:val="28"/>
          <w:lang w:eastAsia="zh-CN"/>
        </w:rPr>
        <w:t>服务条款</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第一条、通用服务条款</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甲方不得通过自研或其他任何第三方程序等方式对乙方网站、手机APP及招聘资源等进行任何非正常访问。</w:t>
      </w:r>
    </w:p>
    <w:p>
      <w:pPr>
        <w:widowControl w:val="0"/>
        <w:numPr>
          <w:ilvl w:val="0"/>
          <w:numId w:val="3"/>
        </w:numPr>
        <w:spacing w:line="360" w:lineRule="auto"/>
        <w:outlineLvl w:val="0"/>
        <w:rPr>
          <w:rFonts w:ascii="宋体" w:hAnsi="宋体"/>
          <w:bCs/>
          <w:sz w:val="24"/>
          <w:szCs w:val="24"/>
          <w:lang w:eastAsia="zh-CN"/>
        </w:rPr>
      </w:pPr>
      <w:r>
        <w:rPr>
          <w:rFonts w:hint="eastAsia" w:ascii="宋体" w:hAnsi="宋体"/>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第二条、违约责任</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pPr>
        <w:widowControl w:val="0"/>
        <w:numPr>
          <w:ilvl w:val="0"/>
          <w:numId w:val="4"/>
        </w:numPr>
        <w:spacing w:line="360" w:lineRule="auto"/>
        <w:outlineLvl w:val="0"/>
        <w:rPr>
          <w:rFonts w:ascii="宋体" w:hAnsi="宋体"/>
          <w:bCs/>
          <w:sz w:val="24"/>
          <w:szCs w:val="24"/>
          <w:lang w:eastAsia="zh-CN"/>
        </w:rPr>
      </w:pPr>
      <w:r>
        <w:rPr>
          <w:rFonts w:hint="eastAsia" w:ascii="宋体" w:hAnsi="宋体"/>
          <w:bCs/>
          <w:sz w:val="24"/>
          <w:szCs w:val="24"/>
          <w:lang w:eastAsia="zh-CN"/>
        </w:rPr>
        <w:t>若因甲方违反合同义务导致合同解除，乙方除采取本合同服务条款第一条第8）款的处理措施以外，并有权要求甲方承担本合同金额30%的违约金。</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第三条、招聘信息公开</w:t>
      </w:r>
    </w:p>
    <w:p>
      <w:pPr>
        <w:widowControl w:val="0"/>
        <w:numPr>
          <w:ilvl w:val="0"/>
          <w:numId w:val="5"/>
        </w:numPr>
        <w:spacing w:line="360" w:lineRule="auto"/>
        <w:outlineLvl w:val="0"/>
        <w:rPr>
          <w:rFonts w:ascii="宋体" w:hAnsi="宋体"/>
          <w:bCs/>
          <w:sz w:val="24"/>
          <w:szCs w:val="24"/>
          <w:lang w:eastAsia="zh-CN"/>
        </w:rPr>
      </w:pPr>
      <w:r>
        <w:rPr>
          <w:rFonts w:hint="eastAsia" w:ascii="宋体" w:hAnsi="宋体"/>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第四条、知识产权</w:t>
      </w:r>
    </w:p>
    <w:p>
      <w:pPr>
        <w:widowControl w:val="0"/>
        <w:numPr>
          <w:ilvl w:val="0"/>
          <w:numId w:val="6"/>
        </w:numPr>
        <w:spacing w:line="360" w:lineRule="auto"/>
        <w:outlineLvl w:val="0"/>
        <w:rPr>
          <w:rFonts w:ascii="宋体" w:hAnsi="宋体"/>
          <w:b/>
          <w:bCs/>
          <w:sz w:val="24"/>
          <w:szCs w:val="24"/>
          <w:lang w:eastAsia="zh-CN"/>
        </w:rPr>
      </w:pPr>
      <w:r>
        <w:rPr>
          <w:rFonts w:hint="eastAsia" w:ascii="宋体" w:hAnsi="宋体"/>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第五条、信息保密</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未经披露方允许，接收方不得将属于披露方的任何资料用于本协议之外的目的。</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接收方应妥善保管披露方提供的各种资料、信息和数据。</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接收方对披露方所提供的技术资料承担保密义务。</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一方必须对所接触到的对方的保密信息进行严格保密，未经对方书面许可不得向任何第三方以任何形式进行披露，但是，如下信息不受此限：</w:t>
      </w:r>
      <w:r>
        <w:rPr>
          <w:rFonts w:hint="eastAsia" w:ascii="宋体" w:hAnsi="宋体"/>
          <w:bCs/>
          <w:sz w:val="24"/>
          <w:szCs w:val="24"/>
          <w:lang w:eastAsia="zh-CN"/>
        </w:rPr>
        <w:cr/>
      </w:r>
      <w:r>
        <w:rPr>
          <w:rFonts w:hint="eastAsia" w:ascii="宋体" w:hAnsi="宋体"/>
          <w:bCs/>
          <w:sz w:val="24"/>
          <w:szCs w:val="24"/>
          <w:lang w:eastAsia="zh-CN"/>
        </w:rPr>
        <w:t>4.1已成为公知信息，而接收方对此并无过错；</w:t>
      </w:r>
      <w:r>
        <w:rPr>
          <w:rFonts w:hint="eastAsia" w:ascii="宋体" w:hAnsi="宋体"/>
          <w:bCs/>
          <w:sz w:val="24"/>
          <w:szCs w:val="24"/>
          <w:lang w:eastAsia="zh-CN"/>
        </w:rPr>
        <w:cr/>
      </w:r>
      <w:r>
        <w:rPr>
          <w:rFonts w:hint="eastAsia" w:ascii="宋体" w:hAnsi="宋体"/>
          <w:bCs/>
          <w:sz w:val="24"/>
          <w:szCs w:val="24"/>
          <w:lang w:eastAsia="zh-CN"/>
        </w:rPr>
        <w:t>4.2披露时接收方已经知晓的信息；</w:t>
      </w:r>
      <w:r>
        <w:rPr>
          <w:rFonts w:hint="eastAsia" w:ascii="宋体" w:hAnsi="宋体"/>
          <w:bCs/>
          <w:sz w:val="24"/>
          <w:szCs w:val="24"/>
          <w:lang w:eastAsia="zh-CN"/>
        </w:rPr>
        <w:cr/>
      </w:r>
      <w:r>
        <w:rPr>
          <w:rFonts w:hint="eastAsia" w:ascii="宋体" w:hAnsi="宋体"/>
          <w:bCs/>
          <w:sz w:val="24"/>
          <w:szCs w:val="24"/>
          <w:lang w:eastAsia="zh-CN"/>
        </w:rPr>
        <w:t>4.3接收方从第三方合法获得的信息，且未附加保密的义务；</w:t>
      </w:r>
      <w:r>
        <w:rPr>
          <w:rFonts w:hint="eastAsia" w:ascii="宋体" w:hAnsi="宋体"/>
          <w:bCs/>
          <w:sz w:val="24"/>
          <w:szCs w:val="24"/>
          <w:lang w:eastAsia="zh-CN"/>
        </w:rPr>
        <w:cr/>
      </w:r>
      <w:r>
        <w:rPr>
          <w:rFonts w:hint="eastAsia" w:ascii="宋体" w:hAnsi="宋体"/>
          <w:bCs/>
          <w:sz w:val="24"/>
          <w:szCs w:val="24"/>
          <w:lang w:eastAsia="zh-CN"/>
        </w:rPr>
        <w:t>4.4接收方并未使用保密信息，而自行研发获得的信息；</w:t>
      </w:r>
      <w:r>
        <w:rPr>
          <w:rFonts w:hint="eastAsia" w:ascii="宋体" w:hAnsi="宋体"/>
          <w:bCs/>
          <w:sz w:val="24"/>
          <w:szCs w:val="24"/>
          <w:lang w:eastAsia="zh-CN"/>
        </w:rPr>
        <w:cr/>
      </w:r>
      <w:r>
        <w:rPr>
          <w:rFonts w:hint="eastAsia" w:ascii="宋体" w:hAnsi="宋体"/>
          <w:bCs/>
          <w:sz w:val="24"/>
          <w:szCs w:val="24"/>
          <w:lang w:eastAsia="zh-CN"/>
        </w:rPr>
        <w:t>4.5披露方事先书面同意披露或使用的信息；</w:t>
      </w:r>
      <w:r>
        <w:rPr>
          <w:rFonts w:hint="eastAsia" w:ascii="宋体" w:hAnsi="宋体"/>
          <w:bCs/>
          <w:sz w:val="24"/>
          <w:szCs w:val="24"/>
          <w:lang w:eastAsia="zh-CN"/>
        </w:rPr>
        <w:cr/>
      </w:r>
      <w:r>
        <w:rPr>
          <w:rFonts w:hint="eastAsia" w:ascii="宋体" w:hAnsi="宋体"/>
          <w:bCs/>
          <w:sz w:val="24"/>
          <w:szCs w:val="24"/>
          <w:lang w:eastAsia="zh-CN"/>
        </w:rPr>
        <w:t>4.6根据国家法律法规的规定或者行政机关的要求，向行政机关或第三方披露的信息。</w:t>
      </w:r>
    </w:p>
    <w:p>
      <w:pPr>
        <w:widowControl w:val="0"/>
        <w:numPr>
          <w:ilvl w:val="0"/>
          <w:numId w:val="7"/>
        </w:numPr>
        <w:spacing w:line="360" w:lineRule="auto"/>
        <w:outlineLvl w:val="0"/>
        <w:rPr>
          <w:rFonts w:ascii="宋体" w:hAnsi="宋体"/>
          <w:bCs/>
          <w:sz w:val="24"/>
          <w:szCs w:val="24"/>
          <w:lang w:eastAsia="zh-CN"/>
        </w:rPr>
      </w:pPr>
      <w:r>
        <w:rPr>
          <w:rFonts w:hint="eastAsia" w:ascii="宋体" w:hAnsi="宋体"/>
          <w:bCs/>
          <w:sz w:val="24"/>
          <w:szCs w:val="24"/>
          <w:lang w:eastAsia="zh-CN"/>
        </w:rPr>
        <w:t>上述保密义务不受本协议期限的限制。</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第六条、不可抗力</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宣称发生不可抗力的一方应在不可抗力发生后十五(15)个工作日内书面通知另一方，并提供经有关部门确认的不可抗力书面证明文件。</w:t>
      </w:r>
    </w:p>
    <w:p>
      <w:pPr>
        <w:widowControl w:val="0"/>
        <w:numPr>
          <w:ilvl w:val="0"/>
          <w:numId w:val="8"/>
        </w:numPr>
        <w:spacing w:line="360" w:lineRule="auto"/>
        <w:outlineLvl w:val="0"/>
        <w:rPr>
          <w:rFonts w:ascii="宋体" w:hAnsi="宋体"/>
          <w:bCs/>
          <w:sz w:val="24"/>
          <w:szCs w:val="24"/>
          <w:lang w:eastAsia="zh-CN"/>
        </w:rPr>
      </w:pPr>
      <w:r>
        <w:rPr>
          <w:rFonts w:hint="eastAsia" w:ascii="宋体" w:hAnsi="宋体"/>
          <w:bCs/>
          <w:sz w:val="24"/>
          <w:szCs w:val="24"/>
          <w:lang w:eastAsia="zh-CN"/>
        </w:rPr>
        <w:t>如发生不可抗力，双方应立即协商解决问题的方案，并采取合理措施尽可能减少不可抗力事件所产生之影响。</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第七条、反商业贿赂条款</w:t>
      </w:r>
    </w:p>
    <w:p>
      <w:pPr>
        <w:widowControl w:val="0"/>
        <w:numPr>
          <w:ilvl w:val="0"/>
          <w:numId w:val="9"/>
        </w:numPr>
        <w:spacing w:line="360" w:lineRule="auto"/>
        <w:outlineLvl w:val="0"/>
        <w:rPr>
          <w:rFonts w:ascii="宋体" w:hAnsi="宋体"/>
          <w:bCs/>
          <w:sz w:val="24"/>
          <w:szCs w:val="24"/>
          <w:lang w:eastAsia="zh-CN"/>
        </w:rPr>
      </w:pPr>
      <w:r>
        <w:rPr>
          <w:rFonts w:hint="eastAsia" w:ascii="宋体" w:hAnsi="宋体"/>
          <w:bCs/>
          <w:sz w:val="24"/>
          <w:szCs w:val="24"/>
          <w:lang w:eastAsia="zh-CN"/>
        </w:rPr>
        <w:t>甲乙双方都清楚并愿意严格遵守中华人民共和国反商业贿赂的法律规定，双方都清楚任何形式的贿赂和贪渎行为都将触犯法律，并将受到法律的严惩。</w:t>
      </w:r>
    </w:p>
    <w:p>
      <w:pPr>
        <w:widowControl w:val="0"/>
        <w:spacing w:line="360" w:lineRule="auto"/>
        <w:outlineLvl w:val="0"/>
        <w:rPr>
          <w:rFonts w:ascii="宋体" w:hAnsi="宋体"/>
          <w:b/>
          <w:bCs/>
          <w:sz w:val="24"/>
          <w:szCs w:val="24"/>
          <w:lang w:eastAsia="zh-CN"/>
        </w:rPr>
      </w:pPr>
      <w:r>
        <w:rPr>
          <w:rFonts w:hint="eastAsia" w:ascii="宋体" w:hAnsi="宋体"/>
          <w:b/>
          <w:bCs/>
          <w:sz w:val="24"/>
          <w:szCs w:val="24"/>
          <w:lang w:eastAsia="zh-CN"/>
        </w:rPr>
        <w:t>第八条、其它</w:t>
      </w:r>
    </w:p>
    <w:p>
      <w:pPr>
        <w:widowControl w:val="0"/>
        <w:numPr>
          <w:ilvl w:val="0"/>
          <w:numId w:val="10"/>
        </w:numPr>
        <w:spacing w:line="360" w:lineRule="auto"/>
        <w:outlineLvl w:val="0"/>
        <w:rPr>
          <w:rFonts w:ascii="宋体"/>
          <w:sz w:val="24"/>
          <w:szCs w:val="24"/>
          <w:lang w:eastAsia="zh-CN"/>
        </w:rPr>
      </w:pPr>
      <w:r>
        <w:rPr>
          <w:rFonts w:hint="eastAsia" w:ascii="宋体" w:hAnsi="宋体"/>
          <w:bCs/>
          <w:sz w:val="24"/>
          <w:szCs w:val="24"/>
          <w:lang w:eastAsia="zh-CN"/>
        </w:rPr>
        <w:t>本合同的订立、执行和解释及争议的解决均适用中国法律。甲乙双方因本合同约定发生争议，应提交乙方所在地有管辖权的人民法院通过诉讼方式解决。</w:t>
      </w:r>
    </w:p>
    <w:p>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hint="eastAsia" w:ascii="宋体" w:hAnsi="宋体"/>
          <w:sz w:val="24"/>
          <w:szCs w:val="24"/>
          <w:lang w:eastAsia="zh-CN"/>
        </w:rPr>
        <w:t>本合同附件及乙方官方网站上公布的隐私政策（</w:t>
      </w:r>
      <w:r>
        <w:rPr>
          <w:rFonts w:ascii="宋体" w:hAnsi="宋体"/>
          <w:sz w:val="24"/>
          <w:szCs w:val="24"/>
          <w:lang w:eastAsia="zh-CN"/>
        </w:rPr>
        <w:t>https://www.ztzhipin.com/Agreement/4</w:t>
      </w:r>
      <w:r>
        <w:rPr>
          <w:rFonts w:hint="eastAsia" w:ascii="宋体" w:hAnsi="宋体"/>
          <w:sz w:val="24"/>
          <w:szCs w:val="24"/>
          <w:lang w:eastAsia="zh-CN"/>
        </w:rPr>
        <w:t>）等线上协议作为本合同的组成部分，与本合同具有同等效力。</w:t>
      </w:r>
    </w:p>
    <w:p>
      <w:pPr>
        <w:widowControl w:val="0"/>
        <w:numPr>
          <w:ilvl w:val="0"/>
          <w:numId w:val="10"/>
        </w:numPr>
        <w:spacing w:line="360" w:lineRule="auto"/>
        <w:outlineLvl w:val="0"/>
        <w:rPr>
          <w:rFonts w:hAnsi="宋体" w:eastAsia="Times New Roman" w:cs="Times New Roman"/>
          <w:caps/>
          <w:color w:val="000000"/>
          <w:sz w:val="18"/>
          <w:szCs w:val="18"/>
          <w:lang w:eastAsia="zh-CN"/>
        </w:rPr>
      </w:pPr>
      <w:r>
        <w:rPr>
          <w:rFonts w:hint="eastAsia" w:ascii="宋体" w:hAnsi="宋体"/>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pPr>
        <w:widowControl w:val="0"/>
        <w:numPr>
          <w:ilvl w:val="0"/>
          <w:numId w:val="10"/>
        </w:numPr>
        <w:spacing w:line="360" w:lineRule="auto"/>
        <w:outlineLvl w:val="0"/>
        <w:rPr>
          <w:rFonts w:hAnsi="宋体" w:eastAsia="Times New Roman" w:cs="Times New Roman"/>
          <w:caps/>
          <w:color w:val="000000"/>
          <w:sz w:val="18"/>
          <w:szCs w:val="18"/>
          <w:lang w:eastAsia="zh-CN"/>
        </w:rPr>
        <w:sectPr>
          <w:type w:val="continuous"/>
          <w:pgSz w:w="11909" w:h="16834"/>
          <w:pgMar w:top="1440" w:right="1080" w:bottom="1440" w:left="1080" w:header="1077" w:footer="439" w:gutter="0"/>
          <w:pgNumType w:fmt="numberInDash" w:chapStyle="2"/>
          <w:cols w:space="201" w:num="1"/>
          <w:docGrid w:linePitch="272" w:charSpace="0"/>
        </w:sectPr>
      </w:pPr>
      <w:r>
        <w:rPr>
          <w:rFonts w:hint="eastAsia" w:ascii="宋体" w:hAnsi="宋体"/>
          <w:sz w:val="24"/>
          <w:szCs w:val="24"/>
          <w:lang w:eastAsia="zh-CN"/>
        </w:rPr>
        <w:t>本合同一式两份，甲、乙双方各持一份，双方盖章后生效</w:t>
      </w:r>
    </w:p>
    <w:p>
      <w:pPr>
        <w:spacing w:line="360" w:lineRule="auto"/>
        <w:rPr>
          <w:rFonts w:ascii="宋体" w:hAnsi="宋体"/>
          <w:b/>
          <w:bCs/>
          <w:lang w:eastAsia="zh-CN"/>
        </w:rPr>
        <w:sectPr>
          <w:headerReference r:id="rId7"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822"/>
        <w:gridCol w:w="4817"/>
      </w:tblGrid>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甲</w:t>
            </w:r>
            <w:r>
              <w:rPr>
                <w:rFonts w:ascii="宋体" w:hAnsi="宋体"/>
                <w:b/>
                <w:bCs/>
                <w:sz w:val="24"/>
                <w:szCs w:val="24"/>
                <w:lang w:eastAsia="zh-CN"/>
              </w:rPr>
              <w:t xml:space="preserve">    </w:t>
            </w:r>
            <w:r>
              <w:rPr>
                <w:rFonts w:hint="eastAsia" w:ascii="宋体" w:hAnsi="宋体"/>
                <w:b/>
                <w:bCs/>
                <w:sz w:val="24"/>
                <w:szCs w:val="24"/>
                <w:lang w:eastAsia="zh-CN"/>
              </w:rPr>
              <w:t>方：</w:t>
            </w:r>
          </w:p>
        </w:tc>
        <w:tc>
          <w:tcPr>
            <w:tcW w:w="4817" w:type="dxa"/>
            <w:tcBorders>
              <w:top w:val="nil"/>
              <w:left w:val="nil"/>
              <w:bottom w:val="nil"/>
              <w:right w:val="nil"/>
            </w:tcBorders>
          </w:tcPr>
          <w:p>
            <w:pPr>
              <w:spacing w:line="360" w:lineRule="auto"/>
              <w:rPr>
                <w:rFonts w:ascii="宋体" w:eastAsia="Times New Roman"/>
                <w:b/>
                <w:bCs/>
                <w:color w:val="000000"/>
                <w:sz w:val="24"/>
                <w:szCs w:val="24"/>
                <w:lang w:eastAsia="zh-CN"/>
              </w:rPr>
            </w:pPr>
            <w:r>
              <w:rPr>
                <w:rFonts w:hint="eastAsia" w:ascii="宋体" w:hAnsi="宋体"/>
                <w:b/>
                <w:bCs/>
                <w:sz w:val="24"/>
                <w:szCs w:val="24"/>
                <w:lang w:eastAsia="zh-CN"/>
              </w:rPr>
              <w:t>乙</w:t>
            </w:r>
            <w:r>
              <w:rPr>
                <w:rFonts w:ascii="宋体" w:hAnsi="宋体"/>
                <w:b/>
                <w:bCs/>
                <w:sz w:val="24"/>
                <w:szCs w:val="24"/>
                <w:lang w:eastAsia="zh-CN"/>
              </w:rPr>
              <w:t xml:space="preserve">    </w:t>
            </w:r>
            <w:r>
              <w:rPr>
                <w:rFonts w:hint="eastAsia" w:ascii="宋体" w:hAnsi="宋体"/>
                <w:b/>
                <w:bCs/>
                <w:sz w:val="24"/>
                <w:szCs w:val="24"/>
                <w:lang w:eastAsia="zh-CN"/>
              </w:rPr>
              <w:t>方：迎得未来（北京）科技有限公司</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c>
          <w:tcPr>
            <w:tcW w:w="4817"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lang w:eastAsia="zh-CN"/>
              </w:rPr>
              <w:t>授权代表：</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c>
          <w:tcPr>
            <w:tcW w:w="4817" w:type="dxa"/>
            <w:tcBorders>
              <w:top w:val="nil"/>
              <w:left w:val="nil"/>
              <w:bottom w:val="nil"/>
              <w:right w:val="nil"/>
            </w:tcBorders>
          </w:tcPr>
          <w:p>
            <w:pPr>
              <w:spacing w:line="360" w:lineRule="auto"/>
              <w:rPr>
                <w:rFonts w:ascii="宋体" w:hAnsi="宋体"/>
                <w:b/>
                <w:bCs/>
                <w:sz w:val="24"/>
                <w:szCs w:val="24"/>
                <w:lang w:eastAsia="zh-CN"/>
              </w:rPr>
            </w:pPr>
            <w:r>
              <w:rPr>
                <w:rFonts w:hint="eastAsia" w:ascii="宋体" w:hAnsi="宋体"/>
                <w:b/>
                <w:bCs/>
                <w:sz w:val="24"/>
                <w:szCs w:val="24"/>
                <w:lang w:eastAsia="zh-CN"/>
              </w:rPr>
              <w:t xml:space="preserve">联系邮箱： </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sz w:val="24"/>
                <w:szCs w:val="24"/>
                <w:lang w:eastAsia="zh-CN"/>
              </w:rPr>
              <w:t xml:space="preserve">    </w:t>
            </w:r>
            <w:r>
              <w:rPr>
                <w:rFonts w:hint="eastAsia" w:ascii="宋体" w:hAnsi="宋体"/>
                <w:b/>
                <w:bCs/>
                <w:sz w:val="24"/>
                <w:szCs w:val="24"/>
                <w:lang w:eastAsia="zh-CN"/>
              </w:rPr>
              <w:t>章：</w:t>
            </w:r>
          </w:p>
        </w:tc>
        <w:tc>
          <w:tcPr>
            <w:tcW w:w="4817" w:type="dxa"/>
            <w:tcBorders>
              <w:top w:val="nil"/>
              <w:left w:val="nil"/>
              <w:bottom w:val="nil"/>
              <w:right w:val="nil"/>
            </w:tcBorders>
          </w:tcPr>
          <w:p>
            <w:pPr>
              <w:spacing w:line="360" w:lineRule="auto"/>
              <w:rPr>
                <w:rFonts w:ascii="宋体" w:eastAsia="Times New Roman"/>
                <w:b/>
                <w:bCs/>
                <w:sz w:val="24"/>
                <w:szCs w:val="24"/>
                <w:lang w:eastAsia="zh-CN"/>
              </w:rPr>
            </w:pPr>
            <w:r>
              <w:rPr>
                <w:rFonts w:hint="eastAsia" w:ascii="宋体" w:hAnsi="宋体"/>
                <w:b/>
                <w:bCs/>
                <w:sz w:val="24"/>
                <w:szCs w:val="24"/>
                <w:lang w:eastAsia="zh-CN"/>
              </w:rPr>
              <w:t>盖</w:t>
            </w:r>
            <w:r>
              <w:rPr>
                <w:rFonts w:ascii="宋体" w:hAnsi="宋体"/>
                <w:b/>
                <w:bCs/>
                <w:color w:val="FFFFFF" w:themeColor="background1"/>
                <w:sz w:val="24"/>
                <w:szCs w:val="24"/>
                <w:lang w:eastAsia="zh-CN"/>
                <w14:textFill>
                  <w14:solidFill>
                    <w14:schemeClr w14:val="bg1"/>
                  </w14:solidFill>
                </w14:textFill>
              </w:rPr>
              <w:t>&amp;&amp;&amp;&amp;</w:t>
            </w:r>
            <w:r>
              <w:rPr>
                <w:rFonts w:hint="eastAsia" w:ascii="宋体" w:hAnsi="宋体"/>
                <w:b/>
                <w:bCs/>
                <w:sz w:val="24"/>
                <w:szCs w:val="24"/>
                <w:lang w:eastAsia="zh-CN"/>
              </w:rPr>
              <w:t>章：</w:t>
            </w:r>
          </w:p>
        </w:tc>
      </w:tr>
      <w:tr>
        <w:tblPrEx>
          <w:tblCellMar>
            <w:top w:w="0" w:type="dxa"/>
            <w:left w:w="108" w:type="dxa"/>
            <w:bottom w:w="0" w:type="dxa"/>
            <w:right w:w="108" w:type="dxa"/>
          </w:tblCellMar>
        </w:tblPrEx>
        <w:tc>
          <w:tcPr>
            <w:tcW w:w="4822" w:type="dxa"/>
            <w:tcBorders>
              <w:top w:val="nil"/>
              <w:left w:val="nil"/>
              <w:bottom w:val="nil"/>
              <w:right w:val="nil"/>
            </w:tcBorders>
          </w:tcPr>
          <w:p>
            <w:pPr>
              <w:spacing w:line="360" w:lineRule="auto"/>
              <w:rPr>
                <w:rFonts w:eastAsia="Times New Roman" w:cs="Times New Roman"/>
                <w:b/>
                <w:bCs/>
                <w:sz w:val="24"/>
                <w:szCs w:val="24"/>
                <w:lang w:eastAsia="zh-CN"/>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eastAsia="Times New Roman" w:cs="Times New Roman"/>
                <w:b/>
                <w:bCs/>
                <w:sz w:val="24"/>
                <w:szCs w:val="24"/>
                <w:lang w:eastAsia="zh-CN"/>
              </w:rPr>
              <w:t xml:space="preserve"> </w:t>
            </w:r>
          </w:p>
        </w:tc>
        <w:tc>
          <w:tcPr>
            <w:tcW w:w="4817" w:type="dxa"/>
            <w:tcBorders>
              <w:top w:val="nil"/>
              <w:left w:val="nil"/>
              <w:bottom w:val="nil"/>
              <w:right w:val="nil"/>
            </w:tcBorders>
          </w:tcPr>
          <w:p>
            <w:pPr>
              <w:spacing w:line="360" w:lineRule="auto"/>
              <w:rPr>
                <w:rFonts w:eastAsia="Times New Roman" w:cs="Times New Roman"/>
                <w:b/>
                <w:bCs/>
                <w:sz w:val="24"/>
                <w:szCs w:val="24"/>
              </w:rPr>
            </w:pPr>
            <w:r>
              <w:rPr>
                <w:rFonts w:hint="eastAsia" w:ascii="宋体" w:hAnsi="宋体"/>
                <w:b/>
                <w:bCs/>
                <w:sz w:val="24"/>
                <w:szCs w:val="24"/>
              </w:rPr>
              <w:t>日</w:t>
            </w:r>
            <w:r>
              <w:rPr>
                <w:rFonts w:ascii="宋体" w:hAnsi="宋体"/>
                <w:b/>
                <w:bCs/>
                <w:sz w:val="24"/>
                <w:szCs w:val="24"/>
                <w:lang w:eastAsia="zh-CN"/>
              </w:rPr>
              <w:t xml:space="preserve">    </w:t>
            </w:r>
            <w:r>
              <w:rPr>
                <w:rFonts w:hint="eastAsia" w:ascii="宋体" w:hAnsi="宋体"/>
                <w:b/>
                <w:bCs/>
                <w:sz w:val="24"/>
                <w:szCs w:val="24"/>
              </w:rPr>
              <w:t>期</w:t>
            </w:r>
            <w:r>
              <w:rPr>
                <w:rFonts w:hint="eastAsia" w:ascii="宋体"/>
                <w:b/>
                <w:bCs/>
                <w:color w:val="000000"/>
                <w:sz w:val="24"/>
                <w:szCs w:val="24"/>
                <w:lang w:eastAsia="zh-CN"/>
              </w:rPr>
              <w:t>：</w:t>
            </w:r>
            <w:r>
              <w:rPr>
                <w:rFonts w:hint="eastAsia" w:eastAsia="Times New Roman" w:cs="Times New Roman"/>
                <w:b/>
                <w:bCs/>
                <w:sz w:val="24"/>
                <w:szCs w:val="24"/>
              </w:rPr>
              <w:t xml:space="preserve"> </w:t>
            </w:r>
          </w:p>
        </w:tc>
      </w:tr>
    </w:tbl>
    <w:p>
      <w:pPr>
        <w:spacing w:line="360" w:lineRule="auto"/>
        <w:rPr>
          <w:rFonts w:ascii="宋体" w:hAnsi="宋体"/>
        </w:rPr>
      </w:pPr>
    </w:p>
    <w:sectPr>
      <w:headerReference r:id="rId8" w:type="default"/>
      <w:type w:val="continuous"/>
      <w:pgSz w:w="11909" w:h="16834"/>
      <w:pgMar w:top="936" w:right="1134" w:bottom="992" w:left="1134" w:header="624"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PAGE   \* MERGEFORMAT</w:instrText>
    </w:r>
    <w:r>
      <w:fldChar w:fldCharType="separate"/>
    </w:r>
    <w:r>
      <w:rPr>
        <w:lang w:eastAsia="zh-CN"/>
      </w:rPr>
      <w:t>-</w:t>
    </w:r>
    <w:r>
      <w:t xml:space="preserve"> 1 -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pPr>
      <w:pStyle w:val="4"/>
      <w:rPr>
        <w:rFonts w:eastAsia="Times New Roman"/>
      </w:rPr>
    </w:pPr>
    <w:r>
      <w:rPr>
        <w:lang w:eastAsia="zh-CN"/>
      </w:rPr>
      <w:drawing>
        <wp:inline distT="0" distB="0" distL="0" distR="0">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ACA275"/>
    <w:multiLevelType w:val="singleLevel"/>
    <w:tmpl w:val="B1ACA275"/>
    <w:lvl w:ilvl="0" w:tentative="0">
      <w:start w:val="1"/>
      <w:numFmt w:val="decimal"/>
      <w:lvlText w:val="%1)"/>
      <w:lvlJc w:val="left"/>
      <w:pPr>
        <w:ind w:left="425" w:hanging="425"/>
      </w:pPr>
      <w:rPr>
        <w:rFonts w:hint="default"/>
      </w:rPr>
    </w:lvl>
  </w:abstractNum>
  <w:abstractNum w:abstractNumId="1">
    <w:nsid w:val="BFF87AEF"/>
    <w:multiLevelType w:val="singleLevel"/>
    <w:tmpl w:val="BFF87AEF"/>
    <w:lvl w:ilvl="0" w:tentative="0">
      <w:start w:val="1"/>
      <w:numFmt w:val="decimal"/>
      <w:lvlText w:val="%1)"/>
      <w:lvlJc w:val="left"/>
      <w:pPr>
        <w:ind w:left="425" w:hanging="425"/>
      </w:pPr>
      <w:rPr>
        <w:rFonts w:hint="default"/>
      </w:rPr>
    </w:lvl>
  </w:abstractNum>
  <w:abstractNum w:abstractNumId="2">
    <w:nsid w:val="D4DFD0D1"/>
    <w:multiLevelType w:val="singleLevel"/>
    <w:tmpl w:val="D4DFD0D1"/>
    <w:lvl w:ilvl="0" w:tentative="0">
      <w:start w:val="1"/>
      <w:numFmt w:val="decimal"/>
      <w:lvlText w:val="%1)"/>
      <w:lvlJc w:val="left"/>
      <w:pPr>
        <w:ind w:left="425" w:hanging="425"/>
      </w:pPr>
      <w:rPr>
        <w:rFonts w:hint="default"/>
      </w:rPr>
    </w:lvl>
  </w:abstractNum>
  <w:abstractNum w:abstractNumId="3">
    <w:nsid w:val="DBE49DEA"/>
    <w:multiLevelType w:val="singleLevel"/>
    <w:tmpl w:val="DBE49DEA"/>
    <w:lvl w:ilvl="0" w:tentative="0">
      <w:start w:val="1"/>
      <w:numFmt w:val="decimal"/>
      <w:lvlText w:val="%1)"/>
      <w:lvlJc w:val="left"/>
      <w:pPr>
        <w:ind w:left="425" w:hanging="425"/>
      </w:pPr>
      <w:rPr>
        <w:rFonts w:hint="default"/>
      </w:rPr>
    </w:lvl>
  </w:abstractNum>
  <w:abstractNum w:abstractNumId="4">
    <w:nsid w:val="DDA701C5"/>
    <w:multiLevelType w:val="singleLevel"/>
    <w:tmpl w:val="DDA701C5"/>
    <w:lvl w:ilvl="0" w:tentative="0">
      <w:start w:val="1"/>
      <w:numFmt w:val="decimal"/>
      <w:lvlText w:val="%1)"/>
      <w:lvlJc w:val="left"/>
      <w:pPr>
        <w:ind w:left="425" w:hanging="425"/>
      </w:pPr>
      <w:rPr>
        <w:rFonts w:hint="default"/>
      </w:rPr>
    </w:lvl>
  </w:abstractNum>
  <w:abstractNum w:abstractNumId="5">
    <w:nsid w:val="FB99CAA5"/>
    <w:multiLevelType w:val="singleLevel"/>
    <w:tmpl w:val="FB99CAA5"/>
    <w:lvl w:ilvl="0" w:tentative="0">
      <w:start w:val="1"/>
      <w:numFmt w:val="decimal"/>
      <w:lvlText w:val="%1)"/>
      <w:lvlJc w:val="left"/>
      <w:pPr>
        <w:ind w:left="425" w:hanging="425"/>
      </w:pPr>
      <w:rPr>
        <w:rFonts w:hint="default"/>
      </w:rPr>
    </w:lvl>
  </w:abstractNum>
  <w:abstractNum w:abstractNumId="6">
    <w:nsid w:val="47C0804E"/>
    <w:multiLevelType w:val="singleLevel"/>
    <w:tmpl w:val="47C0804E"/>
    <w:lvl w:ilvl="0" w:tentative="0">
      <w:start w:val="1"/>
      <w:numFmt w:val="decimal"/>
      <w:lvlText w:val="%1)"/>
      <w:lvlJc w:val="left"/>
      <w:pPr>
        <w:ind w:left="425" w:hanging="425"/>
      </w:pPr>
      <w:rPr>
        <w:rFonts w:hint="default"/>
      </w:rPr>
    </w:lvl>
  </w:abstractNum>
  <w:abstractNum w:abstractNumId="7">
    <w:nsid w:val="4A386CA1"/>
    <w:multiLevelType w:val="singleLevel"/>
    <w:tmpl w:val="4A386CA1"/>
    <w:lvl w:ilvl="0" w:tentative="0">
      <w:start w:val="1"/>
      <w:numFmt w:val="decimal"/>
      <w:lvlText w:val="%1)"/>
      <w:lvlJc w:val="left"/>
      <w:pPr>
        <w:ind w:left="425" w:hanging="425"/>
      </w:pPr>
      <w:rPr>
        <w:rFonts w:hint="default"/>
        <w:b w:val="0"/>
        <w:bCs w:val="0"/>
        <w:sz w:val="20"/>
        <w:szCs w:val="20"/>
      </w:rPr>
    </w:lvl>
  </w:abstractNum>
  <w:abstractNum w:abstractNumId="8">
    <w:nsid w:val="58D4F2F3"/>
    <w:multiLevelType w:val="singleLevel"/>
    <w:tmpl w:val="58D4F2F3"/>
    <w:lvl w:ilvl="0" w:tentative="0">
      <w:start w:val="1"/>
      <w:numFmt w:val="decimal"/>
      <w:lvlText w:val="%1)"/>
      <w:lvlJc w:val="left"/>
      <w:pPr>
        <w:ind w:left="425" w:hanging="425"/>
      </w:pPr>
      <w:rPr>
        <w:rFonts w:hint="default"/>
        <w:b w:val="0"/>
        <w:bCs w:val="0"/>
      </w:rPr>
    </w:lvl>
  </w:abstractNum>
  <w:abstractNum w:abstractNumId="9">
    <w:nsid w:val="72F6DEC7"/>
    <w:multiLevelType w:val="singleLevel"/>
    <w:tmpl w:val="72F6DEC7"/>
    <w:lvl w:ilvl="0" w:tentative="0">
      <w:start w:val="1"/>
      <w:numFmt w:val="decimal"/>
      <w:lvlText w:val="%1)"/>
      <w:lvlJc w:val="left"/>
      <w:pPr>
        <w:ind w:left="425" w:hanging="425"/>
      </w:pPr>
      <w:rPr>
        <w:rFonts w:hint="default"/>
      </w:rPr>
    </w:lvl>
  </w:abstractNum>
  <w:num w:numId="1">
    <w:abstractNumId w:val="2"/>
  </w:num>
  <w:num w:numId="2">
    <w:abstractNumId w:val="3"/>
  </w:num>
  <w:num w:numId="3">
    <w:abstractNumId w:val="4"/>
  </w:num>
  <w:num w:numId="4">
    <w:abstractNumId w:val="5"/>
  </w:num>
  <w:num w:numId="5">
    <w:abstractNumId w:val="1"/>
  </w:num>
  <w:num w:numId="6">
    <w:abstractNumId w:val="8"/>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DAE7C42"/>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678</Words>
  <Characters>3870</Characters>
  <Lines>32</Lines>
  <Paragraphs>9</Paragraphs>
  <TotalTime>13</TotalTime>
  <ScaleCrop>false</ScaleCrop>
  <LinksUpToDate>false</LinksUpToDate>
  <CharactersWithSpaces>4539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2022-02-23T03:07:00Z</dcterms:created>
  <dc:creator>苏 珊</dc:creator>
  <cp:lastModifiedBy>岳俊琪</cp:lastModifiedBy>
  <dcterms:modified xsi:type="dcterms:W3CDTF">2023-11-30T02:19:40Z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2F274611018847B68559F5096DCE86E5_13</vt:lpwstr>
  </property>
  <property fmtid="{D5CDD505-2E9C-101B-9397-08002B2CF9AE}" pid="4" name="commondata">
    <vt:lpwstr>eyJoZGlkIjoiNjRiYTJjYWMxNTUzY2M4OTdjZjFjM2JmMzE1YjY4NWQifQ==</vt:lpwstr>
  </property>
</Properties>
</file>