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r>
        <w:rPr>
          <w:rFonts w:hint="eastAsia" w:ascii="宋体" w:hAnsi="宋体"/>
          <w:b/>
          <w:bCs/>
          <w:sz w:val="28"/>
          <w:szCs w:val="28"/>
          <w:lang w:eastAsia="zh-CN"/>
        </w:rPr>
        <w:t>众推职聘服务合同</w:t>
      </w:r>
    </w:p>
    <w:p>
      <w:pPr>
        <w:spacing w:line="360" w:lineRule="auto"/>
        <w:ind w:right="510" w:firstLine="480" w:firstLineChars="200"/>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ST-20231130-005-02</w:t>
      </w:r>
    </w:p>
    <w:p>
      <w:pPr>
        <w:spacing w:line="360" w:lineRule="auto"/>
        <w:ind w:right="510" w:firstLine="480" w:firstLineChars="200"/>
        <w:jc w:val="right"/>
        <w:rPr>
          <w:rFonts w:ascii="宋体" w:hAnsi="宋体"/>
          <w:b/>
          <w:bCs/>
          <w:sz w:val="24"/>
          <w:szCs w:val="24"/>
          <w:lang w:eastAsia="zh-CN"/>
        </w:rPr>
      </w:pPr>
      <w:r>
        <w:rPr>
          <w:rFonts w:hint="eastAsia" w:ascii="宋体" w:hAnsi="宋体"/>
          <w:color w:val="000000"/>
          <w:sz w:val="24"/>
          <w:szCs w:val="24"/>
          <w:lang w:eastAsia="zh-CN"/>
        </w:rPr>
        <w:t>众推编</w:t>
      </w:r>
      <w:r>
        <w:rPr>
          <w:rFonts w:hint="eastAsia" w:ascii="宋体" w:hAnsi="宋体"/>
          <w:color w:val="000000"/>
          <w:sz w:val="24"/>
          <w:szCs w:val="24"/>
          <w:lang w:val="zh-CN" w:eastAsia="zh-CN"/>
        </w:rPr>
        <w:t>号：</w:t>
      </w:r>
      <w:r>
        <w:rPr>
          <w:rFonts w:ascii="宋体" w:hAnsi="宋体"/>
          <w:color w:val="000000"/>
          <w:sz w:val="24"/>
          <w:szCs w:val="24"/>
          <w:lang w:val="zh-CN" w:eastAsia="zh-CN"/>
        </w:rPr>
        <w:t>ZT202311300012</w:t>
      </w:r>
    </w:p>
    <w:p>
      <w:pPr>
        <w:spacing w:line="360" w:lineRule="auto"/>
        <w:jc w:val="right"/>
        <w:rPr>
          <w:rFonts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甲方：_</w:t>
            </w:r>
            <w:r>
              <w:rPr>
                <w:rFonts w:hint="eastAsia" w:ascii="宋体" w:hAnsi="宋体"/>
                <w:b/>
                <w:bCs/>
                <w:sz w:val="24"/>
                <w:szCs w:val="24"/>
                <w:u w:val="single"/>
                <w:lang w:eastAsia="zh-CN"/>
              </w:rPr>
              <w:t>字节跳动</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rPr>
          <w:rFonts w:ascii="宋体" w:hAnsi="宋体"/>
          <w:sz w:val="24"/>
          <w:szCs w:val="24"/>
          <w:lang w:eastAsia="zh-CN"/>
        </w:rPr>
      </w:pPr>
      <w:r>
        <w:rPr>
          <w:rFonts w:hint="eastAsia" w:ascii="宋体" w:hAnsi="宋体"/>
          <w:sz w:val="24"/>
          <w:szCs w:val="24"/>
          <w:lang w:eastAsia="zh-CN"/>
        </w:rPr>
        <w:t xml:space="preserve">    </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第一条、服务内容及合同金额</w:t>
      </w:r>
    </w:p>
    <w:p>
      <w:pPr>
        <w:numPr>
          <w:ilvl w:val="0"/>
          <w:numId w:val="1"/>
        </w:numPr>
        <w:spacing w:line="360" w:lineRule="auto"/>
        <w:rPr>
          <w:rFonts w:ascii="宋体" w:hAnsi="宋体"/>
          <w:sz w:val="24"/>
          <w:szCs w:val="24"/>
          <w:lang w:eastAsia="zh-CN"/>
        </w:rPr>
      </w:pPr>
      <w:bookmarkStart w:id="4" w:name="_GoBack"/>
      <w:bookmarkEnd w:id="4"/>
      <w:r>
        <w:rPr>
          <w:rFonts w:hint="eastAsia" w:ascii="宋体" w:hAnsi="宋体"/>
          <w:sz w:val="24"/>
          <w:szCs w:val="24"/>
          <w:lang w:eastAsia="zh-CN"/>
        </w:rPr>
        <w:t>乙方按合同约定期限为甲方提供</w:t>
      </w:r>
      <w:r>
        <w:rPr>
          <w:rFonts w:hint="eastAsia" w:ascii="宋体" w:hAnsi="宋体"/>
          <w:b/>
          <w:bCs/>
          <w:sz w:val="24"/>
          <w:szCs w:val="24"/>
          <w:u w:val="single"/>
          <w:lang w:eastAsia="zh-CN"/>
        </w:rPr>
        <w:t>加购18888.0元</w:t>
      </w:r>
      <w:r>
        <w:rPr>
          <w:rFonts w:hint="eastAsia" w:ascii="宋体" w:hAnsi="宋体"/>
          <w:sz w:val="24"/>
          <w:szCs w:val="24"/>
          <w:lang w:eastAsia="zh-CN"/>
        </w:rPr>
        <w:t>的</w:t>
      </w:r>
      <w:r>
        <w:rPr>
          <w:rFonts w:hint="eastAsia" w:ascii="宋体" w:hAnsi="宋体"/>
          <w:b/>
          <w:bCs/>
          <w:sz w:val="24"/>
          <w:szCs w:val="24"/>
          <w:u w:val="single"/>
          <w:lang w:eastAsia="zh-CN"/>
        </w:rPr>
        <w:t>尊享闪推套餐</w:t>
      </w:r>
      <w:r>
        <w:rPr>
          <w:rFonts w:hint="eastAsia" w:ascii="宋体" w:hAnsi="宋体"/>
          <w:sz w:val="24"/>
          <w:szCs w:val="24"/>
          <w:lang w:eastAsia="zh-CN"/>
        </w:rPr>
        <w:t>项目如下：</w:t>
      </w:r>
    </w:p>
    <w:tbl>
      <w:tblPr>
        <w:tblStyle w:val="7"/>
        <w:tblW w:w="960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26"/>
        <w:gridCol w:w="1852"/>
        <w:gridCol w:w="60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6" w:type="dxa"/>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7876" w:type="dxa"/>
            <w:gridSpan w:val="2"/>
            <w:tcBorders>
              <w:top w:val="single" w:color="auto" w:sz="4" w:space="0"/>
              <w:bottom w:val="nil"/>
              <w:right w:val="single" w:color="auto" w:sz="4" w:space="0"/>
            </w:tcBorders>
            <w:shd w:val="clear" w:color="auto" w:fill="auto"/>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6" w:type="dxa"/>
            <w:vMerge w:val="restart"/>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HR交付审核</w:t>
            </w:r>
          </w:p>
        </w:tc>
        <w:tc>
          <w:tcPr>
            <w:tcW w:w="1852" w:type="dxa"/>
            <w:tcBorders>
              <w:left w:val="single" w:color="auto" w:sz="4" w:space="0"/>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简历精准推送</w:t>
            </w:r>
          </w:p>
        </w:tc>
        <w:tc>
          <w:tcPr>
            <w:tcW w:w="6024" w:type="dxa"/>
            <w:vAlign w:val="center"/>
          </w:tcPr>
          <w:p>
            <w:pPr>
              <w:spacing w:line="360" w:lineRule="auto"/>
              <w:rPr>
                <w:rFonts w:ascii="宋体" w:hAnsi="宋体"/>
                <w:sz w:val="24"/>
                <w:szCs w:val="24"/>
                <w:lang w:eastAsia="zh-CN"/>
              </w:rPr>
            </w:pPr>
            <w:r>
              <w:rPr>
                <w:rFonts w:hint="eastAsia" w:ascii="宋体" w:hAnsi="宋体"/>
                <w:sz w:val="24"/>
                <w:szCs w:val="24"/>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6" w:type="dxa"/>
            <w:vMerge w:val="continue"/>
            <w:vAlign w:val="center"/>
          </w:tcPr>
          <w:p>
            <w:pPr>
              <w:spacing w:line="360" w:lineRule="auto"/>
              <w:jc w:val="center"/>
              <w:rPr>
                <w:rFonts w:ascii="宋体" w:hAnsi="宋体"/>
                <w:b/>
                <w:bCs/>
                <w:color w:val="000000"/>
                <w:sz w:val="24"/>
                <w:szCs w:val="24"/>
                <w:lang w:eastAsia="zh-CN"/>
              </w:rPr>
            </w:pPr>
          </w:p>
        </w:tc>
        <w:tc>
          <w:tcPr>
            <w:tcW w:w="1852" w:type="dxa"/>
            <w:tcBorders>
              <w:left w:val="single" w:color="auto" w:sz="4" w:space="0"/>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邀约面试</w:t>
            </w:r>
          </w:p>
        </w:tc>
        <w:tc>
          <w:tcPr>
            <w:tcW w:w="6024" w:type="dxa"/>
            <w:vAlign w:val="center"/>
          </w:tcPr>
          <w:p>
            <w:pPr>
              <w:spacing w:line="360" w:lineRule="auto"/>
              <w:rPr>
                <w:rFonts w:ascii="宋体" w:hAnsi="宋体"/>
                <w:sz w:val="24"/>
                <w:szCs w:val="24"/>
                <w:lang w:eastAsia="zh-CN"/>
              </w:rPr>
            </w:pPr>
            <w:r>
              <w:rPr>
                <w:rFonts w:hint="eastAsia" w:ascii="宋体" w:hAnsi="宋体"/>
                <w:sz w:val="24"/>
                <w:szCs w:val="24"/>
                <w:lang w:eastAsia="zh-CN"/>
              </w:rPr>
              <w:t>发送面试邀约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6" w:type="dxa"/>
            <w:vMerge w:val="continue"/>
            <w:vAlign w:val="center"/>
          </w:tcPr>
          <w:p>
            <w:pPr>
              <w:spacing w:line="360" w:lineRule="auto"/>
              <w:jc w:val="center"/>
              <w:rPr>
                <w:rFonts w:ascii="宋体" w:hAnsi="宋体"/>
                <w:b/>
                <w:bCs/>
                <w:color w:val="000000"/>
                <w:sz w:val="24"/>
                <w:szCs w:val="24"/>
                <w:lang w:eastAsia="zh-CN"/>
              </w:rPr>
            </w:pPr>
          </w:p>
        </w:tc>
        <w:tc>
          <w:tcPr>
            <w:tcW w:w="1852" w:type="dxa"/>
            <w:tcBorders>
              <w:left w:val="single" w:color="auto" w:sz="4" w:space="0"/>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面试跟进</w:t>
            </w:r>
          </w:p>
        </w:tc>
        <w:tc>
          <w:tcPr>
            <w:tcW w:w="6024" w:type="dxa"/>
            <w:vAlign w:val="center"/>
          </w:tcPr>
          <w:p>
            <w:pPr>
              <w:spacing w:line="360" w:lineRule="auto"/>
              <w:rPr>
                <w:rFonts w:ascii="宋体" w:hAnsi="宋体"/>
                <w:sz w:val="24"/>
                <w:szCs w:val="24"/>
                <w:lang w:eastAsia="zh-CN"/>
              </w:rPr>
            </w:pPr>
            <w:r>
              <w:rPr>
                <w:rFonts w:hint="eastAsia" w:ascii="宋体" w:hAnsi="宋体"/>
                <w:sz w:val="24"/>
                <w:szCs w:val="24"/>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6" w:type="dxa"/>
            <w:vMerge w:val="continue"/>
            <w:vAlign w:val="center"/>
          </w:tcPr>
          <w:p>
            <w:pPr>
              <w:spacing w:line="360" w:lineRule="auto"/>
              <w:jc w:val="center"/>
              <w:rPr>
                <w:rFonts w:ascii="宋体" w:hAnsi="宋体"/>
                <w:b/>
                <w:bCs/>
                <w:color w:val="000000"/>
                <w:sz w:val="24"/>
                <w:szCs w:val="24"/>
                <w:lang w:eastAsia="zh-CN"/>
              </w:rPr>
            </w:pPr>
          </w:p>
        </w:tc>
        <w:tc>
          <w:tcPr>
            <w:tcW w:w="1852" w:type="dxa"/>
            <w:tcBorders>
              <w:left w:val="single" w:color="auto" w:sz="4" w:space="0"/>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谈薪offer发放</w:t>
            </w:r>
          </w:p>
        </w:tc>
        <w:tc>
          <w:tcPr>
            <w:tcW w:w="6024" w:type="dxa"/>
            <w:vAlign w:val="center"/>
          </w:tcPr>
          <w:p>
            <w:pPr>
              <w:spacing w:line="360" w:lineRule="auto"/>
              <w:rPr>
                <w:rFonts w:ascii="宋体" w:hAnsi="宋体"/>
                <w:sz w:val="24"/>
                <w:szCs w:val="24"/>
                <w:lang w:eastAsia="zh-CN"/>
              </w:rPr>
            </w:pPr>
            <w:r>
              <w:rPr>
                <w:rFonts w:hint="eastAsia" w:ascii="宋体" w:hAnsi="宋体"/>
                <w:sz w:val="24"/>
                <w:szCs w:val="24"/>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6" w:type="dxa"/>
            <w:vMerge w:val="continue"/>
            <w:vAlign w:val="center"/>
          </w:tcPr>
          <w:p>
            <w:pPr>
              <w:spacing w:line="360" w:lineRule="auto"/>
              <w:jc w:val="center"/>
              <w:rPr>
                <w:rFonts w:ascii="宋体" w:hAnsi="宋体"/>
                <w:b/>
                <w:bCs/>
                <w:color w:val="000000"/>
                <w:sz w:val="24"/>
                <w:szCs w:val="24"/>
                <w:lang w:eastAsia="zh-CN"/>
              </w:rPr>
            </w:pPr>
          </w:p>
        </w:tc>
        <w:tc>
          <w:tcPr>
            <w:tcW w:w="1852" w:type="dxa"/>
            <w:tcBorders>
              <w:left w:val="single" w:color="auto" w:sz="4" w:space="0"/>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入职报道跟进</w:t>
            </w:r>
          </w:p>
        </w:tc>
        <w:tc>
          <w:tcPr>
            <w:tcW w:w="6024" w:type="dxa"/>
            <w:vAlign w:val="center"/>
          </w:tcPr>
          <w:p>
            <w:pPr>
              <w:spacing w:line="360" w:lineRule="auto"/>
              <w:rPr>
                <w:rFonts w:ascii="宋体" w:hAnsi="宋体"/>
                <w:sz w:val="24"/>
                <w:szCs w:val="24"/>
                <w:lang w:eastAsia="zh-CN"/>
              </w:rPr>
            </w:pPr>
            <w:r>
              <w:rPr>
                <w:rFonts w:hint="eastAsia" w:ascii="宋体" w:hAnsi="宋体"/>
                <w:sz w:val="24"/>
                <w:szCs w:val="24"/>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6" w:type="dxa"/>
            <w:vMerge w:val="continue"/>
            <w:vAlign w:val="center"/>
          </w:tcPr>
          <w:p>
            <w:pPr>
              <w:spacing w:line="360" w:lineRule="auto"/>
              <w:jc w:val="center"/>
              <w:rPr>
                <w:rFonts w:ascii="宋体" w:hAnsi="宋体"/>
                <w:b/>
                <w:bCs/>
                <w:color w:val="000000"/>
                <w:sz w:val="24"/>
                <w:szCs w:val="24"/>
                <w:lang w:eastAsia="zh-CN"/>
              </w:rPr>
            </w:pPr>
          </w:p>
        </w:tc>
        <w:tc>
          <w:tcPr>
            <w:tcW w:w="1852" w:type="dxa"/>
            <w:tcBorders>
              <w:left w:val="single" w:color="auto" w:sz="4" w:space="0"/>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024" w:type="dxa"/>
            <w:vAlign w:val="center"/>
          </w:tcPr>
          <w:p>
            <w:pPr>
              <w:spacing w:line="360" w:lineRule="auto"/>
              <w:rPr>
                <w:rFonts w:ascii="宋体" w:hAnsi="宋体"/>
                <w:sz w:val="24"/>
                <w:szCs w:val="24"/>
                <w:lang w:eastAsia="zh-CN"/>
              </w:rPr>
            </w:pPr>
            <w:r>
              <w:rPr>
                <w:rFonts w:hint="eastAsia" w:ascii="宋体" w:hAnsi="宋体"/>
                <w:sz w:val="24"/>
                <w:szCs w:val="24"/>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726" w:type="dxa"/>
            <w:vMerge w:val="restart"/>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交付服务顾问</w:t>
            </w:r>
          </w:p>
        </w:tc>
        <w:tc>
          <w:tcPr>
            <w:tcW w:w="1852" w:type="dxa"/>
            <w:tcBorders>
              <w:left w:val="single" w:color="auto" w:sz="4" w:space="0"/>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制定交付方案</w:t>
            </w:r>
          </w:p>
        </w:tc>
        <w:tc>
          <w:tcPr>
            <w:tcW w:w="6024" w:type="dxa"/>
            <w:vAlign w:val="center"/>
          </w:tcPr>
          <w:p>
            <w:pPr>
              <w:spacing w:line="360" w:lineRule="auto"/>
              <w:rPr>
                <w:rFonts w:ascii="宋体" w:hAnsi="宋体"/>
                <w:sz w:val="24"/>
                <w:szCs w:val="24"/>
                <w:lang w:eastAsia="zh-CN"/>
              </w:rPr>
            </w:pPr>
            <w:r>
              <w:rPr>
                <w:rFonts w:hint="eastAsia" w:ascii="宋体" w:hAnsi="宋体"/>
                <w:sz w:val="24"/>
                <w:szCs w:val="24"/>
                <w:lang w:eastAsia="zh-CN"/>
              </w:rPr>
              <w:t>发布岗位的</w:t>
            </w:r>
            <w:r>
              <w:rPr>
                <w:rFonts w:ascii="宋体" w:hAnsi="宋体"/>
                <w:sz w:val="24"/>
                <w:szCs w:val="24"/>
                <w:lang w:eastAsia="zh-CN"/>
              </w:rPr>
              <w:t>JD</w:t>
            </w:r>
            <w:r>
              <w:rPr>
                <w:rFonts w:hint="eastAsia" w:ascii="宋体" w:hAnsi="宋体"/>
                <w:sz w:val="24"/>
                <w:szCs w:val="24"/>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726" w:type="dxa"/>
            <w:vMerge w:val="continue"/>
            <w:vAlign w:val="center"/>
          </w:tcPr>
          <w:p>
            <w:pPr>
              <w:spacing w:line="360" w:lineRule="auto"/>
              <w:rPr>
                <w:rFonts w:ascii="宋体" w:hAnsi="宋体"/>
                <w:b/>
                <w:bCs/>
                <w:color w:val="000000"/>
                <w:sz w:val="24"/>
                <w:szCs w:val="24"/>
                <w:lang w:eastAsia="zh-CN"/>
              </w:rPr>
            </w:pPr>
          </w:p>
        </w:tc>
        <w:tc>
          <w:tcPr>
            <w:tcW w:w="1852" w:type="dxa"/>
            <w:tcBorders>
              <w:left w:val="single" w:color="auto" w:sz="4" w:space="0"/>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协同</w:t>
            </w:r>
            <w:r>
              <w:rPr>
                <w:rFonts w:ascii="宋体" w:hAnsi="宋体"/>
                <w:sz w:val="24"/>
                <w:szCs w:val="24"/>
                <w:lang w:eastAsia="zh-CN"/>
              </w:rPr>
              <w:t>HR</w:t>
            </w:r>
            <w:r>
              <w:rPr>
                <w:rFonts w:hint="eastAsia" w:ascii="宋体" w:hAnsi="宋体"/>
                <w:sz w:val="24"/>
                <w:szCs w:val="24"/>
                <w:lang w:eastAsia="zh-CN"/>
              </w:rPr>
              <w:t>交付</w:t>
            </w:r>
          </w:p>
        </w:tc>
        <w:tc>
          <w:tcPr>
            <w:tcW w:w="6024" w:type="dxa"/>
            <w:vAlign w:val="center"/>
          </w:tcPr>
          <w:p>
            <w:pPr>
              <w:spacing w:line="360" w:lineRule="auto"/>
              <w:rPr>
                <w:rFonts w:ascii="宋体" w:hAnsi="宋体"/>
                <w:sz w:val="24"/>
                <w:szCs w:val="24"/>
                <w:lang w:eastAsia="zh-CN"/>
              </w:rPr>
            </w:pPr>
            <w:r>
              <w:rPr>
                <w:rFonts w:hint="eastAsia" w:ascii="宋体" w:hAnsi="宋体"/>
                <w:sz w:val="24"/>
                <w:szCs w:val="24"/>
                <w:lang w:eastAsia="zh-CN"/>
              </w:rPr>
              <w:t>制定H</w:t>
            </w:r>
            <w:r>
              <w:rPr>
                <w:rFonts w:ascii="宋体" w:hAnsi="宋体"/>
                <w:sz w:val="24"/>
                <w:szCs w:val="24"/>
                <w:lang w:eastAsia="zh-CN"/>
              </w:rPr>
              <w:t>R</w:t>
            </w:r>
            <w:r>
              <w:rPr>
                <w:rFonts w:hint="eastAsia" w:ascii="宋体" w:hAnsi="宋体"/>
                <w:sz w:val="24"/>
                <w:szCs w:val="24"/>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726" w:type="dxa"/>
            <w:vMerge w:val="continue"/>
            <w:vAlign w:val="center"/>
          </w:tcPr>
          <w:p>
            <w:pPr>
              <w:spacing w:line="360" w:lineRule="auto"/>
              <w:rPr>
                <w:rFonts w:ascii="宋体" w:hAnsi="宋体"/>
                <w:b/>
                <w:bCs/>
                <w:color w:val="000000"/>
                <w:sz w:val="24"/>
                <w:szCs w:val="24"/>
                <w:lang w:eastAsia="zh-CN"/>
              </w:rPr>
            </w:pPr>
          </w:p>
        </w:tc>
        <w:tc>
          <w:tcPr>
            <w:tcW w:w="1852" w:type="dxa"/>
            <w:tcBorders>
              <w:left w:val="single" w:color="auto" w:sz="4" w:space="0"/>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完成交付</w:t>
            </w:r>
          </w:p>
        </w:tc>
        <w:tc>
          <w:tcPr>
            <w:tcW w:w="6024" w:type="dxa"/>
            <w:vAlign w:val="center"/>
          </w:tcPr>
          <w:p>
            <w:pPr>
              <w:spacing w:line="360" w:lineRule="auto"/>
              <w:rPr>
                <w:rFonts w:ascii="宋体" w:hAnsi="宋体"/>
                <w:sz w:val="24"/>
                <w:szCs w:val="24"/>
                <w:lang w:eastAsia="zh-CN"/>
              </w:rPr>
            </w:pPr>
            <w:r>
              <w:rPr>
                <w:rFonts w:hint="eastAsia" w:ascii="宋体" w:hAnsi="宋体"/>
                <w:sz w:val="24"/>
                <w:szCs w:val="24"/>
                <w:lang w:eastAsia="zh-CN"/>
              </w:rPr>
              <w:t>为企业提供入职画像数据报表和分析报告</w:t>
            </w:r>
          </w:p>
        </w:tc>
      </w:tr>
    </w:tbl>
    <w:p>
      <w:pPr>
        <w:spacing w:before="120" w:beforeLines="50" w:line="360" w:lineRule="auto"/>
        <w:rPr>
          <w:rFonts w:ascii="宋体" w:hAnsi="宋体"/>
          <w:b/>
          <w:bCs/>
          <w:sz w:val="24"/>
          <w:szCs w:val="24"/>
          <w:lang w:eastAsia="zh-CN"/>
        </w:rPr>
      </w:pPr>
    </w:p>
    <w:tbl>
      <w:tblPr>
        <w:tblStyle w:val="7"/>
        <w:tblW w:w="0" w:type="auto"/>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6"/>
        <w:gridCol w:w="682"/>
        <w:gridCol w:w="816"/>
        <w:gridCol w:w="1857"/>
        <w:gridCol w:w="881"/>
        <w:gridCol w:w="1857"/>
        <w:gridCol w:w="12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9" w:type="dxa"/>
            <w:gridSpan w:val="7"/>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尊享闪推套餐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0"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产品名称</w:t>
            </w:r>
          </w:p>
        </w:tc>
        <w:tc>
          <w:tcPr>
            <w:tcW w:w="447"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地域</w:t>
            </w:r>
          </w:p>
        </w:tc>
        <w:tc>
          <w:tcPr>
            <w:tcW w:w="448"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单价</w:t>
            </w:r>
          </w:p>
        </w:tc>
        <w:tc>
          <w:tcPr>
            <w:tcW w:w="194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数量</w:t>
            </w:r>
          </w:p>
        </w:tc>
        <w:tc>
          <w:tcPr>
            <w:tcW w:w="908"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单位</w:t>
            </w:r>
          </w:p>
        </w:tc>
        <w:tc>
          <w:tcPr>
            <w:tcW w:w="194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服务周期</w:t>
            </w:r>
          </w:p>
        </w:tc>
        <w:tc>
          <w:tcPr>
            <w:tcW w:w="1254"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0"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齐大乐权益</w:t>
            </w:r>
          </w:p>
        </w:tc>
        <w:tc>
          <w:tcPr>
            <w:tcW w:w="447" w:type="dxa"/>
            <w:vMerge w:val="restart"/>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448"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200.0</w:t>
            </w:r>
          </w:p>
        </w:tc>
        <w:tc>
          <w:tcPr>
            <w:tcW w:w="194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22</w:t>
            </w:r>
          </w:p>
        </w:tc>
        <w:tc>
          <w:tcPr>
            <w:tcW w:w="908"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个</w:t>
            </w:r>
          </w:p>
        </w:tc>
        <w:tc>
          <w:tcPr>
            <w:tcW w:w="1946" w:type="dxa"/>
            <w:vMerge w:val="restart"/>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43天</w:t>
            </w:r>
          </w:p>
        </w:tc>
        <w:tc>
          <w:tcPr>
            <w:tcW w:w="1254"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内部测试权益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0"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齐达内权益</w:t>
            </w:r>
          </w:p>
        </w:tc>
        <w:tc>
          <w:tcPr>
            <w:tcW w:w="447"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448"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600.0</w:t>
            </w:r>
          </w:p>
        </w:tc>
        <w:tc>
          <w:tcPr>
            <w:tcW w:w="194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33</w:t>
            </w:r>
          </w:p>
        </w:tc>
        <w:tc>
          <w:tcPr>
            <w:tcW w:w="908"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个</w:t>
            </w:r>
          </w:p>
        </w:tc>
        <w:tc>
          <w:tcPr>
            <w:tcW w:w="194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43天</w:t>
            </w:r>
          </w:p>
        </w:tc>
        <w:tc>
          <w:tcPr>
            <w:tcW w:w="1254"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免费看齐达内踢球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0"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齐天大圣权益</w:t>
            </w:r>
          </w:p>
        </w:tc>
        <w:tc>
          <w:tcPr>
            <w:tcW w:w="447"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448"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50.0</w:t>
            </w:r>
          </w:p>
        </w:tc>
        <w:tc>
          <w:tcPr>
            <w:tcW w:w="194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44</w:t>
            </w:r>
          </w:p>
        </w:tc>
        <w:tc>
          <w:tcPr>
            <w:tcW w:w="908"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元</w:t>
            </w:r>
          </w:p>
        </w:tc>
        <w:tc>
          <w:tcPr>
            <w:tcW w:w="194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43天</w:t>
            </w:r>
          </w:p>
        </w:tc>
        <w:tc>
          <w:tcPr>
            <w:tcW w:w="1254"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西游记</w:t>
            </w:r>
          </w:p>
        </w:tc>
      </w:tr>
    </w:tbl>
    <w:p>
      <w:pPr>
        <w:spacing w:before="120" w:beforeLines="50" w:line="360" w:lineRule="auto"/>
        <w:rPr>
          <w:rFonts w:ascii="宋体" w:hAnsi="宋体"/>
          <w:b/>
          <w:bCs/>
          <w:sz w:val="24"/>
          <w:szCs w:val="24"/>
          <w:lang w:eastAsia="zh-CN"/>
        </w:rPr>
      </w:pPr>
      <w:r>
        <w:rPr>
          <w:rFonts w:hint="eastAsia" w:ascii="宋体" w:hAnsi="宋体"/>
          <w:sz w:val="24"/>
          <w:szCs w:val="24"/>
          <w:lang w:eastAsia="zh-CN"/>
        </w:rPr>
        <w:t>闪推交付服务的入驻平台费用合计：</w:t>
      </w:r>
      <w:r>
        <w:rPr>
          <w:rFonts w:ascii="宋体" w:hAnsi="宋体"/>
          <w:sz w:val="24"/>
          <w:szCs w:val="24"/>
          <w:u w:val="single"/>
          <w:lang w:eastAsia="zh-CN"/>
        </w:rPr>
        <w:t>18888.0</w:t>
      </w:r>
      <w:r>
        <w:rPr>
          <w:rFonts w:hint="eastAsia" w:ascii="宋体" w:hAnsi="宋体"/>
          <w:sz w:val="24"/>
          <w:szCs w:val="24"/>
          <w:lang w:eastAsia="zh-CN"/>
        </w:rPr>
        <w:t>元，大写</w:t>
      </w:r>
      <w:r>
        <w:rPr>
          <w:rFonts w:hint="eastAsia" w:ascii="宋体" w:hAnsi="宋体"/>
          <w:sz w:val="24"/>
          <w:szCs w:val="24"/>
          <w:u w:val="single"/>
          <w:lang w:eastAsia="zh-CN"/>
        </w:rPr>
        <w:t>壹万捌仟捌佰捌拾捌元整</w:t>
      </w:r>
      <w:r>
        <w:rPr>
          <w:rFonts w:hint="eastAsia" w:ascii="宋体" w:hAnsi="宋体"/>
          <w:sz w:val="24"/>
          <w:szCs w:val="24"/>
          <w:lang w:eastAsia="zh-CN"/>
        </w:rPr>
        <w:t>。</w:t>
      </w:r>
    </w:p>
    <w:p>
      <w:pPr>
        <w:pStyle w:val="14"/>
        <w:spacing w:line="360" w:lineRule="auto"/>
        <w:ind w:firstLine="0" w:firstLineChars="0"/>
        <w:outlineLvl w:val="0"/>
        <w:rPr>
          <w:rFonts w:ascii="宋体" w:hAnsi="宋体"/>
          <w:b/>
          <w:bCs/>
          <w:sz w:val="24"/>
          <w:szCs w:val="24"/>
          <w:lang w:eastAsia="zh-CN"/>
        </w:rPr>
      </w:pPr>
      <w:r>
        <w:rPr>
          <w:rFonts w:hint="eastAsia" w:ascii="宋体" w:hAnsi="宋体"/>
          <w:b/>
          <w:bCs/>
          <w:sz w:val="24"/>
          <w:szCs w:val="24"/>
          <w:lang w:eastAsia="zh-CN"/>
        </w:rPr>
        <w:t>第二条、费用及支付</w:t>
      </w:r>
      <w:bookmarkStart w:id="0" w:name="OLE_LINK5"/>
      <w:bookmarkStart w:id="1" w:name="OLE_LINK6"/>
    </w:p>
    <w:p>
      <w:pPr>
        <w:pStyle w:val="14"/>
        <w:numPr>
          <w:ilvl w:val="0"/>
          <w:numId w:val="2"/>
        </w:numPr>
        <w:spacing w:line="360" w:lineRule="auto"/>
        <w:ind w:firstLineChars="0"/>
        <w:outlineLvl w:val="0"/>
        <w:rPr>
          <w:rFonts w:ascii="宋体" w:hAnsi="宋体"/>
          <w:b/>
          <w:bCs/>
          <w:sz w:val="24"/>
          <w:szCs w:val="24"/>
          <w:lang w:eastAsia="zh-CN"/>
        </w:rPr>
      </w:pPr>
      <w:bookmarkStart w:id="2" w:name="OLE_LINK17"/>
      <w:bookmarkStart w:id="3" w:name="OLE_LINK18"/>
      <w:r>
        <w:rPr>
          <w:rFonts w:hint="eastAsia" w:ascii="宋体" w:hAnsi="宋体"/>
          <w:b/>
          <w:bCs/>
          <w:color w:val="000000" w:themeColor="text1"/>
          <w:sz w:val="24"/>
          <w:szCs w:val="24"/>
          <w:lang w:eastAsia="zh-CN"/>
          <w14:textFill>
            <w14:solidFill>
              <w14:schemeClr w14:val="tx1"/>
            </w14:solidFill>
          </w14:textFill>
        </w:rPr>
        <w:t>加购</w:t>
      </w:r>
      <w:bookmarkEnd w:id="0"/>
      <w:bookmarkEnd w:id="1"/>
      <w:bookmarkEnd w:id="2"/>
      <w:bookmarkEnd w:id="3"/>
      <w:r>
        <w:rPr>
          <w:rFonts w:hint="eastAsia" w:ascii="宋体" w:hAnsi="宋体"/>
          <w:b/>
          <w:bCs/>
          <w:color w:val="000000" w:themeColor="text1"/>
          <w:sz w:val="24"/>
          <w:szCs w:val="24"/>
          <w:lang w:eastAsia="zh-CN"/>
          <w14:textFill>
            <w14:solidFill>
              <w14:schemeClr w14:val="tx1"/>
            </w14:solidFill>
          </w14:textFill>
        </w:rPr>
        <w:t>臻享的费用及支付</w:t>
      </w:r>
    </w:p>
    <w:p>
      <w:pPr>
        <w:numPr>
          <w:ilvl w:val="0"/>
          <w:numId w:val="3"/>
        </w:numPr>
        <w:spacing w:line="360" w:lineRule="auto"/>
        <w:rPr>
          <w:rFonts w:ascii="宋体" w:hAnsi="宋体"/>
          <w:sz w:val="24"/>
          <w:szCs w:val="24"/>
          <w:lang w:eastAsia="zh-CN"/>
        </w:rPr>
      </w:pPr>
      <w:r>
        <w:rPr>
          <w:rFonts w:hint="eastAsia" w:ascii="宋体" w:hAnsi="宋体"/>
          <w:sz w:val="24"/>
          <w:szCs w:val="24"/>
          <w:lang w:eastAsia="zh-CN"/>
        </w:rPr>
        <w:t>甲方应向乙方支付</w:t>
      </w:r>
      <w:r>
        <w:rPr>
          <w:rFonts w:hint="eastAsia" w:ascii="宋体" w:hAnsi="宋体"/>
          <w:b/>
          <w:bCs/>
          <w:color w:val="000000" w:themeColor="text1"/>
          <w:sz w:val="24"/>
          <w:szCs w:val="24"/>
          <w:lang w:eastAsia="zh-CN"/>
          <w14:textFill>
            <w14:solidFill>
              <w14:schemeClr w14:val="tx1"/>
            </w14:solidFill>
          </w14:textFill>
        </w:rPr>
        <w:t>加购</w:t>
      </w:r>
      <w:r>
        <w:rPr>
          <w:rFonts w:hint="eastAsia" w:ascii="宋体" w:hAnsi="宋体"/>
          <w:b/>
          <w:bCs/>
          <w:sz w:val="24"/>
          <w:szCs w:val="24"/>
          <w:u w:val="single"/>
          <w:lang w:eastAsia="zh-CN"/>
        </w:rPr>
        <w:t>尊享闪推套餐</w:t>
      </w:r>
      <w:r>
        <w:rPr>
          <w:rFonts w:hint="eastAsia" w:ascii="宋体" w:hAnsi="宋体"/>
          <w:sz w:val="24"/>
          <w:szCs w:val="24"/>
          <w:lang w:eastAsia="zh-CN"/>
        </w:rPr>
        <w:t>费，共计人民币</w:t>
      </w:r>
      <w:r>
        <w:rPr>
          <w:rFonts w:ascii="宋体" w:hAnsi="宋体"/>
          <w:sz w:val="24"/>
          <w:szCs w:val="24"/>
          <w:u w:val="single"/>
          <w:lang w:eastAsia="zh-CN"/>
        </w:rPr>
        <w:t>18888.0</w:t>
      </w:r>
      <w:r>
        <w:rPr>
          <w:rFonts w:hint="eastAsia" w:ascii="宋体" w:hAnsi="宋体"/>
          <w:sz w:val="24"/>
          <w:szCs w:val="24"/>
          <w:lang w:eastAsia="zh-CN"/>
        </w:rPr>
        <w:t>元(大写:</w:t>
      </w:r>
      <w:r>
        <w:rPr>
          <w:rFonts w:ascii="宋体" w:hAnsi="宋体"/>
          <w:sz w:val="24"/>
          <w:szCs w:val="24"/>
          <w:u w:val="single"/>
          <w:lang w:eastAsia="zh-CN"/>
        </w:rPr>
        <w:t xml:space="preserve"> 壹万捌仟捌佰捌拾捌元整</w:t>
      </w:r>
      <w:r>
        <w:rPr>
          <w:rFonts w:hint="eastAsia" w:ascii="宋体" w:hAnsi="宋体"/>
          <w:sz w:val="24"/>
          <w:szCs w:val="24"/>
          <w:lang w:eastAsia="zh-CN"/>
        </w:rPr>
        <w:t>)。乙方根据甲方要求于收款后提供增值税普通发票或增值税专用发票（后者必须要提供相关开票信息）。</w:t>
      </w:r>
    </w:p>
    <w:p>
      <w:pPr>
        <w:numPr>
          <w:ilvl w:val="0"/>
          <w:numId w:val="3"/>
        </w:numPr>
        <w:spacing w:line="360" w:lineRule="auto"/>
        <w:rPr>
          <w:rFonts w:ascii="宋体" w:hAnsi="宋体"/>
          <w:sz w:val="24"/>
          <w:szCs w:val="24"/>
          <w:lang w:eastAsia="zh-CN"/>
        </w:rPr>
      </w:pPr>
      <w:r>
        <w:rPr>
          <w:rFonts w:hint="eastAsia" w:ascii="宋体" w:hAnsi="宋体"/>
          <w:sz w:val="24"/>
          <w:szCs w:val="24"/>
          <w:lang w:eastAsia="zh-CN"/>
        </w:rPr>
        <w:t>甲方应在以下注明付款日期前，将费用支付到乙方指定账号：付款日期为</w:t>
      </w:r>
      <w:r>
        <w:rPr>
          <w:rFonts w:ascii="宋体" w:hAnsi="宋体"/>
          <w:sz w:val="24"/>
          <w:szCs w:val="24"/>
          <w:u w:val="single"/>
          <w:lang w:eastAsia="zh-CN"/>
        </w:rPr>
        <w:t>2023年11月29日</w:t>
      </w:r>
      <w:r>
        <w:rPr>
          <w:rFonts w:hint="eastAsia" w:ascii="宋体" w:hAnsi="宋体"/>
          <w:sz w:val="24"/>
          <w:szCs w:val="24"/>
          <w:lang w:eastAsia="zh-CN"/>
        </w:rPr>
        <w:t>。乙方根据甲方到账时间为其开通平台账号。</w:t>
      </w:r>
    </w:p>
    <w:p>
      <w:pPr>
        <w:pStyle w:val="14"/>
        <w:numPr>
          <w:ilvl w:val="0"/>
          <w:numId w:val="2"/>
        </w:numPr>
        <w:spacing w:line="360" w:lineRule="auto"/>
        <w:ind w:firstLineChars="0"/>
        <w:outlineLvl w:val="0"/>
        <w:rPr>
          <w:rFonts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闪推服务费用及支付</w:t>
      </w:r>
    </w:p>
    <w:p>
      <w:pPr>
        <w:pStyle w:val="2"/>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"80"%</w:t>
      </w:r>
      <w:r>
        <w:rPr>
          <w:rFonts w:hint="eastAsia"/>
          <w:sz w:val="24"/>
          <w:szCs w:val="24"/>
          <w:u w:val="single"/>
        </w:rPr>
        <w:t>作为服务费</w:t>
      </w:r>
      <w:r>
        <w:rPr>
          <w:rFonts w:hint="eastAsia"/>
          <w:sz w:val="24"/>
          <w:szCs w:val="24"/>
        </w:rPr>
        <w:t>。</w:t>
      </w:r>
    </w:p>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numPr>
          <w:ilvl w:val="0"/>
          <w:numId w:val="4"/>
        </w:numPr>
        <w:spacing w:line="360" w:lineRule="auto"/>
        <w:rPr>
          <w:color w:val="000000" w:themeColor="text1"/>
          <w:sz w:val="24"/>
          <w:szCs w:val="24"/>
          <w14:textFill>
            <w14:solidFill>
              <w14:schemeClr w14:val="tx1"/>
            </w14:solidFill>
          </w14:textFill>
        </w:rPr>
      </w:pP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color w:val="000000" w:themeColor="text1"/>
          <w:spacing w:val="-12"/>
          <w:sz w:val="24"/>
          <w:szCs w:val="24"/>
          <w14:textFill>
            <w14:solidFill>
              <w14:schemeClr w14:val="tx1"/>
            </w14:solidFill>
          </w14:textFill>
        </w:rPr>
        <w:t>后三个月内</w:t>
      </w:r>
      <w:r>
        <w:rPr>
          <w:rFonts w:hint="eastAsia"/>
          <w:color w:val="000000" w:themeColor="text1"/>
          <w:spacing w:val="-6"/>
          <w:sz w:val="24"/>
          <w:szCs w:val="24"/>
          <w14:textFill>
            <w14:solidFill>
              <w14:schemeClr w14:val="tx1"/>
            </w14:solidFill>
          </w14:textFill>
        </w:rPr>
        <w:t>未能达到甲方正式录用标准</w:t>
      </w:r>
      <w:r>
        <w:rPr>
          <w:rFonts w:hint="eastAsia"/>
          <w:color w:val="000000" w:themeColor="text1"/>
          <w:spacing w:val="-6"/>
          <w:sz w:val="24"/>
          <w:szCs w:val="24"/>
          <w:lang w:val="en-US"/>
          <w14:textFill>
            <w14:solidFill>
              <w14:schemeClr w14:val="tx1"/>
            </w14:solidFill>
          </w14:textFill>
        </w:rPr>
        <w:t>或该人员主动离职</w:t>
      </w:r>
      <w:r>
        <w:rPr>
          <w:rFonts w:hint="eastAsia"/>
          <w:color w:val="000000" w:themeColor="text1"/>
          <w:spacing w:val="-6"/>
          <w:sz w:val="24"/>
          <w:szCs w:val="24"/>
          <w14:textFill>
            <w14:solidFill>
              <w14:schemeClr w14:val="tx1"/>
            </w14:solidFill>
          </w14:textFill>
        </w:rPr>
        <w:t>，甲方须在候选人离职</w:t>
      </w:r>
      <w:r>
        <w:rPr>
          <w:rFonts w:hint="eastAsia"/>
          <w:color w:val="000000" w:themeColor="text1"/>
          <w:spacing w:val="-6"/>
          <w:sz w:val="24"/>
          <w:szCs w:val="24"/>
          <w:lang w:val="en-US"/>
          <w14:textFill>
            <w14:solidFill>
              <w14:schemeClr w14:val="tx1"/>
            </w14:solidFill>
          </w14:textFill>
        </w:rPr>
        <w:t>的</w:t>
      </w:r>
      <w:r>
        <w:rPr>
          <w:rFonts w:hint="eastAsia"/>
          <w:color w:val="000000" w:themeColor="text1"/>
          <w:spacing w:val="-6"/>
          <w:sz w:val="24"/>
          <w:szCs w:val="24"/>
          <w14:textFill>
            <w14:solidFill>
              <w14:schemeClr w14:val="tx1"/>
            </w14:solidFill>
          </w14:textFill>
        </w:rPr>
        <w:t>前</w:t>
      </w:r>
      <w:r>
        <w:rPr>
          <w:rFonts w:hint="eastAsia"/>
          <w:color w:val="000000" w:themeColor="text1"/>
          <w:spacing w:val="-8"/>
          <w:sz w:val="24"/>
          <w:szCs w:val="24"/>
          <w14:textFill>
            <w14:solidFill>
              <w14:schemeClr w14:val="tx1"/>
            </w14:solidFill>
          </w14:textFill>
        </w:rPr>
        <w:t>以邮件</w:t>
      </w:r>
      <w:r>
        <w:rPr>
          <w:rFonts w:hint="eastAsia"/>
          <w:color w:val="000000" w:themeColor="text1"/>
          <w:spacing w:val="-8"/>
          <w:sz w:val="24"/>
          <w:szCs w:val="24"/>
          <w:lang w:val="en-US"/>
          <w14:textFill>
            <w14:solidFill>
              <w14:schemeClr w14:val="tx1"/>
            </w14:solidFill>
          </w14:textFill>
        </w:rPr>
        <w:t>或其他书面</w:t>
      </w:r>
      <w:r>
        <w:rPr>
          <w:rFonts w:hint="eastAsia"/>
          <w:color w:val="000000" w:themeColor="text1"/>
          <w:spacing w:val="-8"/>
          <w:sz w:val="24"/>
          <w:szCs w:val="24"/>
          <w14:textFill>
            <w14:solidFill>
              <w14:schemeClr w14:val="tx1"/>
            </w14:solidFill>
          </w14:textFill>
        </w:rPr>
        <w:t>形式告知乙方，乙方为甲方提供免费补聘一次的机会。</w:t>
      </w:r>
    </w:p>
    <w:p>
      <w:pPr>
        <w:pStyle w:val="2"/>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pPr>
        <w:spacing w:line="360" w:lineRule="auto"/>
        <w:ind w:firstLine="420"/>
        <w:rPr>
          <w:rFonts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企业名称: 字节跳动</w:t>
      </w:r>
    </w:p>
    <w:p>
      <w:pPr>
        <w:spacing w:line="360" w:lineRule="auto"/>
        <w:ind w:firstLine="420"/>
        <w:rPr>
          <w:rFonts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 xml:space="preserve">纳税人识别号: </w:t>
      </w:r>
      <w:r>
        <w:rPr>
          <w:rFonts w:ascii="宋体" w:hAnsi="宋体"/>
          <w:color w:val="000000" w:themeColor="text1"/>
          <w:sz w:val="24"/>
          <w:szCs w:val="24"/>
          <w:lang w:eastAsia="zh-CN"/>
          <w14:textFill>
            <w14:solidFill>
              <w14:schemeClr w14:val="tx1"/>
            </w14:solidFill>
          </w14:textFill>
        </w:rPr>
        <w:t>545454545454545445545445</w:t>
      </w:r>
    </w:p>
    <w:p>
      <w:pPr>
        <w:spacing w:line="360" w:lineRule="auto"/>
        <w:ind w:firstLine="420"/>
        <w:rPr>
          <w:rFonts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地    址：沙河</w:t>
      </w:r>
    </w:p>
    <w:p>
      <w:pPr>
        <w:spacing w:line="360" w:lineRule="auto"/>
        <w:ind w:firstLine="420"/>
        <w:rPr>
          <w:rFonts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电    话：</w:t>
      </w:r>
      <w:r>
        <w:rPr>
          <w:rFonts w:ascii="宋体" w:hAnsi="宋体"/>
          <w:color w:val="000000" w:themeColor="text1"/>
          <w:sz w:val="24"/>
          <w:szCs w:val="24"/>
          <w:lang w:eastAsia="zh-CN"/>
          <w14:textFill>
            <w14:solidFill>
              <w14:schemeClr w14:val="tx1"/>
            </w14:solidFill>
          </w14:textFill>
        </w:rPr>
        <w:t>515454545</w:t>
      </w:r>
    </w:p>
    <w:p>
      <w:pPr>
        <w:spacing w:line="360" w:lineRule="auto"/>
        <w:ind w:firstLine="420"/>
        <w:rPr>
          <w:rFonts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开 户 行：654654121211654564646465464546</w:t>
      </w:r>
    </w:p>
    <w:p>
      <w:pPr>
        <w:spacing w:line="360" w:lineRule="auto"/>
        <w:ind w:firstLine="420"/>
        <w:rPr>
          <w:rFonts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账    号：</w:t>
      </w:r>
      <w:r>
        <w:rPr>
          <w:rFonts w:ascii="宋体" w:hAnsi="宋体"/>
          <w:color w:val="000000" w:themeColor="text1"/>
          <w:sz w:val="24"/>
          <w:szCs w:val="24"/>
          <w:lang w:eastAsia="zh-CN"/>
          <w14:textFill>
            <w14:solidFill>
              <w14:schemeClr w14:val="tx1"/>
            </w14:solidFill>
          </w14:textFill>
        </w:rPr>
        <w:t>5454545456464564564</w:t>
      </w:r>
    </w:p>
    <w:p>
      <w:pPr>
        <w:numPr>
          <w:ilvl w:val="0"/>
          <w:numId w:val="4"/>
        </w:numPr>
        <w:spacing w:line="360" w:lineRule="auto"/>
        <w:rPr>
          <w:rFonts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pPr>
        <w:numPr>
          <w:ilvl w:val="0"/>
          <w:numId w:val="4"/>
        </w:numPr>
        <w:spacing w:line="360" w:lineRule="auto"/>
        <w:rPr>
          <w:rFonts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pPr>
        <w:spacing w:line="360" w:lineRule="auto"/>
        <w:rPr>
          <w:rFonts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ST-20231130-005-02</w:t>
      </w:r>
      <w:r>
        <w:rPr>
          <w:rFonts w:hint="eastAsia" w:ascii="宋体" w:hAnsi="宋体"/>
          <w:color w:val="000000"/>
          <w:sz w:val="24"/>
          <w:szCs w:val="24"/>
          <w:lang w:eastAsia="zh-CN"/>
        </w:rPr>
        <w:t>）一式两份，甲乙方各执一份。</w:t>
      </w:r>
    </w:p>
    <w:p>
      <w:pPr>
        <w:spacing w:line="360" w:lineRule="auto"/>
        <w:rPr>
          <w:rFonts w:ascii="宋体" w:hAnsi="宋体"/>
          <w:color w:val="000000"/>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82" w:firstLineChars="200"/>
        <w:rPr>
          <w:rFonts w:ascii="宋体" w:hAnsi="宋体"/>
          <w:b/>
          <w:bCs/>
          <w:sz w:val="24"/>
          <w:szCs w:val="24"/>
          <w:lang w:eastAsia="zh-CN"/>
        </w:r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p>
      <w:pPr>
        <w:spacing w:line="360" w:lineRule="auto"/>
        <w:rPr>
          <w:rFonts w:ascii="宋体" w:hAnsi="宋体"/>
          <w:sz w:val="24"/>
          <w:szCs w:val="24"/>
          <w:lang w:eastAsia="zh-CN"/>
        </w:rPr>
      </w:pPr>
      <w:r>
        <w:rPr>
          <w:rFonts w:hint="eastAsia" w:ascii="宋体" w:hAnsi="宋体"/>
          <w:sz w:val="24"/>
          <w:szCs w:val="24"/>
          <w:lang w:eastAsia="zh-CN"/>
        </w:rPr>
        <w:t xml:space="preserve">姓名：                                 电子邮件：                     </w:t>
      </w:r>
    </w:p>
    <w:p>
      <w:pPr>
        <w:spacing w:line="360" w:lineRule="auto"/>
        <w:rPr>
          <w:rFonts w:ascii="宋体" w:hAnsi="宋体"/>
          <w:b/>
          <w:bCs/>
          <w:sz w:val="24"/>
          <w:szCs w:val="24"/>
          <w:lang w:eastAsia="zh-CN"/>
        </w:rPr>
      </w:pPr>
      <w:r>
        <w:rPr>
          <w:rFonts w:hint="eastAsia" w:ascii="宋体" w:hAnsi="宋体"/>
          <w:sz w:val="24"/>
          <w:szCs w:val="24"/>
          <w:lang w:eastAsia="zh-CN"/>
        </w:rPr>
        <w:t>手机号：                               固定电话：</w:t>
      </w: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spacing w:line="360" w:lineRule="auto"/>
        <w:rPr>
          <w:rFonts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pPr>
        <w:rPr>
          <w:rFonts w:ascii="宋体" w:hAnsi="宋体"/>
          <w:b/>
          <w:bCs/>
          <w:sz w:val="28"/>
          <w:szCs w:val="28"/>
          <w:lang w:eastAsia="zh-CN"/>
        </w:rPr>
      </w:pPr>
      <w:r>
        <w:rPr>
          <w:rFonts w:ascii="宋体" w:hAnsi="宋体"/>
          <w:b/>
          <w:bCs/>
          <w:sz w:val="28"/>
          <w:szCs w:val="28"/>
          <w:lang w:eastAsia="zh-CN"/>
        </w:rPr>
        <w:br w:type="page"/>
      </w:r>
    </w:p>
    <w:p>
      <w:pPr>
        <w:spacing w:line="360" w:lineRule="auto"/>
        <w:jc w:val="both"/>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6"/>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6"/>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8"/>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10"/>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10"/>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10"/>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11"/>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2"/>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2"/>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2"/>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54"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p>
      <w:pPr>
        <w:spacing w:line="360" w:lineRule="auto"/>
        <w:rPr>
          <w:rFonts w:ascii="宋体" w:hAnsi="宋体"/>
        </w:rPr>
      </w:pPr>
    </w:p>
    <w:sectPr>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eastAsia="Times New Roman"/>
      </w:rPr>
    </w:pPr>
    <w:r>
      <w:rPr>
        <w:lang w:eastAsia="zh-CN"/>
      </w:rPr>
      <w:drawing>
        <wp:inline distT="0" distB="0" distL="0" distR="0">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ACA275"/>
    <w:multiLevelType w:val="singleLevel"/>
    <w:tmpl w:val="B1ACA275"/>
    <w:lvl w:ilvl="0" w:tentative="0">
      <w:start w:val="1"/>
      <w:numFmt w:val="decimal"/>
      <w:lvlText w:val="%1)"/>
      <w:lvlJc w:val="left"/>
      <w:pPr>
        <w:ind w:left="425" w:hanging="425"/>
      </w:pPr>
      <w:rPr>
        <w:rFonts w:hint="default"/>
      </w:rPr>
    </w:lvl>
  </w:abstractNum>
  <w:abstractNum w:abstractNumId="1">
    <w:nsid w:val="B4F89C1F"/>
    <w:multiLevelType w:val="singleLevel"/>
    <w:tmpl w:val="B4F89C1F"/>
    <w:lvl w:ilvl="0" w:tentative="0">
      <w:start w:val="1"/>
      <w:numFmt w:val="decimal"/>
      <w:lvlText w:val="%1)"/>
      <w:lvlJc w:val="left"/>
      <w:pPr>
        <w:ind w:left="425" w:hanging="425"/>
      </w:pPr>
      <w:rPr>
        <w:rFonts w:hint="default"/>
      </w:rPr>
    </w:lvl>
  </w:abstractNum>
  <w:abstractNum w:abstractNumId="2">
    <w:nsid w:val="BFF87AEF"/>
    <w:multiLevelType w:val="singleLevel"/>
    <w:tmpl w:val="BFF87AEF"/>
    <w:lvl w:ilvl="0" w:tentative="0">
      <w:start w:val="1"/>
      <w:numFmt w:val="decimal"/>
      <w:lvlText w:val="%1)"/>
      <w:lvlJc w:val="left"/>
      <w:pPr>
        <w:ind w:left="425" w:hanging="425"/>
      </w:pPr>
      <w:rPr>
        <w:rFonts w:hint="default"/>
      </w:rPr>
    </w:lvl>
  </w:abstractNum>
  <w:abstractNum w:abstractNumId="3">
    <w:nsid w:val="DB2702A9"/>
    <w:multiLevelType w:val="multilevel"/>
    <w:tmpl w:val="DB2702A9"/>
    <w:lvl w:ilvl="0" w:tentative="0">
      <w:start w:val="1"/>
      <w:numFmt w:val="japaneseCounting"/>
      <w:suff w:val="space"/>
      <w:lvlText w:val="%1、"/>
      <w:lvlJc w:val="left"/>
      <w:pPr>
        <w:ind w:left="720" w:hanging="720"/>
      </w:pPr>
      <w:rPr>
        <w:rFonts w:hint="eastAsia"/>
        <w:color w:val="000000" w:themeColor="text1"/>
        <w14:textFill>
          <w14:solidFill>
            <w14:schemeClr w14:val="tx1"/>
          </w14:solidFill>
        </w14:textFill>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E884235A"/>
    <w:multiLevelType w:val="singleLevel"/>
    <w:tmpl w:val="E884235A"/>
    <w:lvl w:ilvl="0" w:tentative="0">
      <w:start w:val="1"/>
      <w:numFmt w:val="decimal"/>
      <w:lvlText w:val="%1)"/>
      <w:lvlJc w:val="left"/>
      <w:pPr>
        <w:ind w:left="425" w:hanging="425"/>
      </w:pPr>
      <w:rPr>
        <w:rFonts w:hint="default"/>
      </w:rPr>
    </w:lvl>
  </w:abstractNum>
  <w:abstractNum w:abstractNumId="6">
    <w:nsid w:val="FB99CAA5"/>
    <w:multiLevelType w:val="singleLevel"/>
    <w:tmpl w:val="FB99CAA5"/>
    <w:lvl w:ilvl="0" w:tentative="0">
      <w:start w:val="1"/>
      <w:numFmt w:val="decimal"/>
      <w:lvlText w:val="%1)"/>
      <w:lvlJc w:val="left"/>
      <w:pPr>
        <w:ind w:left="425" w:hanging="425"/>
      </w:pPr>
      <w:rPr>
        <w:rFonts w:hint="default"/>
      </w:rPr>
    </w:lvl>
  </w:abstractNum>
  <w:abstractNum w:abstractNumId="7">
    <w:nsid w:val="47C0804E"/>
    <w:multiLevelType w:val="singleLevel"/>
    <w:tmpl w:val="47C0804E"/>
    <w:lvl w:ilvl="0" w:tentative="0">
      <w:start w:val="1"/>
      <w:numFmt w:val="decimal"/>
      <w:lvlText w:val="%1)"/>
      <w:lvlJc w:val="left"/>
      <w:pPr>
        <w:ind w:left="425" w:hanging="425"/>
      </w:pPr>
      <w:rPr>
        <w:rFonts w:hint="default"/>
      </w:rPr>
    </w:lvl>
  </w:abstractNum>
  <w:abstractNum w:abstractNumId="8">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9">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10">
    <w:nsid w:val="6502592A"/>
    <w:multiLevelType w:val="singleLevel"/>
    <w:tmpl w:val="6502592A"/>
    <w:lvl w:ilvl="0" w:tentative="0">
      <w:start w:val="1"/>
      <w:numFmt w:val="decimal"/>
      <w:lvlText w:val="%1)"/>
      <w:lvlJc w:val="left"/>
      <w:pPr>
        <w:ind w:left="425" w:hanging="425"/>
      </w:pPr>
      <w:rPr>
        <w:rFonts w:hint="default"/>
        <w:b w:val="0"/>
        <w:bCs w:val="0"/>
      </w:rPr>
    </w:lvl>
  </w:abstractNum>
  <w:abstractNum w:abstractNumId="11">
    <w:nsid w:val="72F6DEC7"/>
    <w:multiLevelType w:val="singleLevel"/>
    <w:tmpl w:val="72F6DEC7"/>
    <w:lvl w:ilvl="0" w:tentative="0">
      <w:start w:val="1"/>
      <w:numFmt w:val="decimal"/>
      <w:lvlText w:val="%1)"/>
      <w:lvlJc w:val="left"/>
      <w:pPr>
        <w:ind w:left="425" w:hanging="425"/>
      </w:pPr>
      <w:rPr>
        <w:rFonts w:hint="default"/>
      </w:rPr>
    </w:lvl>
  </w:abstractNum>
  <w:num w:numId="1">
    <w:abstractNumId w:val="1"/>
  </w:num>
  <w:num w:numId="2">
    <w:abstractNumId w:val="3"/>
  </w:num>
  <w:num w:numId="3">
    <w:abstractNumId w:val="5"/>
  </w:num>
  <w:num w:numId="4">
    <w:abstractNumId w:val="10"/>
  </w:num>
  <w:num w:numId="5">
    <w:abstractNumId w:val="4"/>
  </w:num>
  <w:num w:numId="6">
    <w:abstractNumId w:val="6"/>
  </w:num>
  <w:num w:numId="7">
    <w:abstractNumId w:val="2"/>
  </w:num>
  <w:num w:numId="8">
    <w:abstractNumId w:val="9"/>
  </w:num>
  <w:num w:numId="9">
    <w:abstractNumId w:val="11"/>
  </w:num>
  <w:num w:numId="10">
    <w:abstractNumId w:val="7"/>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A2M2FiZjM3N2Q4OTJjNGRkY2M5NmIwMWE2OGI4NzQ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8A633CA"/>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742</Words>
  <Characters>4236</Characters>
  <Lines>35</Lines>
  <Paragraphs>9</Paragraphs>
  <TotalTime>20</TotalTime>
  <ScaleCrop>false</ScaleCrop>
  <LinksUpToDate>false</LinksUpToDate>
  <CharactersWithSpaces>4969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丶丢了xin</cp:lastModifiedBy>
  <dcterms:modified xsi:type="dcterms:W3CDTF">2023-11-30T06:21:30Z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